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B2D2" w14:textId="77777777" w:rsidR="00AB24F5" w:rsidRPr="00F6590B" w:rsidRDefault="00AB24F5" w:rsidP="00522EED">
      <w:pPr>
        <w:shd w:val="clear" w:color="auto" w:fill="FFFFFF"/>
        <w:spacing w:before="120" w:after="0" w:line="240" w:lineRule="auto"/>
        <w:jc w:val="center"/>
        <w:rPr>
          <w:rFonts w:ascii="Arial" w:eastAsia="Times New Roman" w:hAnsi="Arial" w:cs="Arial"/>
          <w:b/>
          <w:bCs/>
          <w:sz w:val="24"/>
          <w:szCs w:val="20"/>
          <w:lang w:val="en-GB"/>
        </w:rPr>
      </w:pPr>
      <w:r w:rsidRPr="00F6590B">
        <w:rPr>
          <w:rFonts w:ascii="Arial" w:eastAsia="Times New Roman" w:hAnsi="Arial" w:cs="Arial"/>
          <w:b/>
          <w:bCs/>
          <w:sz w:val="24"/>
          <w:szCs w:val="20"/>
          <w:lang w:val="en-GB"/>
        </w:rPr>
        <w:t>STANDARD CONTRACTUAL CLAUSES</w:t>
      </w:r>
      <w:r w:rsidR="00190B05" w:rsidRPr="00F6590B">
        <w:rPr>
          <w:rFonts w:ascii="Arial" w:eastAsia="Times New Roman" w:hAnsi="Arial" w:cs="Arial"/>
          <w:b/>
          <w:bCs/>
          <w:sz w:val="24"/>
          <w:szCs w:val="20"/>
          <w:lang w:val="en-GB"/>
        </w:rPr>
        <w:t xml:space="preserve"> </w:t>
      </w:r>
      <w:r w:rsidR="00190B05" w:rsidRPr="00190B05">
        <w:rPr>
          <w:rStyle w:val="FootnoteReference"/>
          <w:rFonts w:ascii="Arial" w:eastAsia="Times New Roman" w:hAnsi="Arial" w:cs="Arial"/>
          <w:b/>
          <w:bCs/>
          <w:sz w:val="24"/>
          <w:szCs w:val="20"/>
          <w:highlight w:val="lightGray"/>
        </w:rPr>
        <w:footnoteReference w:id="1"/>
      </w:r>
      <w:r w:rsidR="0038797C" w:rsidRPr="00F6590B">
        <w:rPr>
          <w:rFonts w:ascii="Arial" w:eastAsia="Times New Roman" w:hAnsi="Arial" w:cs="Arial"/>
          <w:b/>
          <w:bCs/>
          <w:sz w:val="24"/>
          <w:szCs w:val="20"/>
          <w:lang w:val="en-GB"/>
        </w:rPr>
        <w:t xml:space="preserve"> </w:t>
      </w:r>
    </w:p>
    <w:p w14:paraId="59B72317"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4"/>
          <w:szCs w:val="20"/>
          <w:lang w:val="en-GB"/>
        </w:rPr>
      </w:pPr>
      <w:r w:rsidRPr="0038797C">
        <w:rPr>
          <w:rFonts w:ascii="Arial" w:eastAsia="Times New Roman" w:hAnsi="Arial" w:cs="Arial"/>
          <w:b/>
          <w:bCs/>
          <w:sz w:val="24"/>
          <w:szCs w:val="20"/>
          <w:lang w:val="en-GB"/>
        </w:rPr>
        <w:t>for Module Two (EU</w:t>
      </w:r>
      <w:r w:rsidR="007C0F35">
        <w:rPr>
          <w:rFonts w:ascii="Arial" w:eastAsia="Times New Roman" w:hAnsi="Arial" w:cs="Arial"/>
          <w:b/>
          <w:bCs/>
          <w:sz w:val="24"/>
          <w:szCs w:val="20"/>
          <w:lang w:val="en-GB"/>
        </w:rPr>
        <w:t>/EEA</w:t>
      </w:r>
      <w:r w:rsidRPr="0038797C">
        <w:rPr>
          <w:rFonts w:ascii="Arial" w:eastAsia="Times New Roman" w:hAnsi="Arial" w:cs="Arial"/>
          <w:b/>
          <w:bCs/>
          <w:sz w:val="24"/>
          <w:szCs w:val="20"/>
          <w:lang w:val="en-GB"/>
        </w:rPr>
        <w:t xml:space="preserve"> Controller to </w:t>
      </w:r>
      <w:r w:rsidR="00194540">
        <w:rPr>
          <w:rFonts w:ascii="Arial" w:eastAsia="Times New Roman" w:hAnsi="Arial" w:cs="Arial"/>
          <w:b/>
          <w:bCs/>
          <w:sz w:val="24"/>
          <w:szCs w:val="20"/>
          <w:lang w:val="en-GB"/>
        </w:rPr>
        <w:t>Third-</w:t>
      </w:r>
      <w:r w:rsidRPr="0038797C">
        <w:rPr>
          <w:rFonts w:ascii="Arial" w:eastAsia="Times New Roman" w:hAnsi="Arial" w:cs="Arial"/>
          <w:b/>
          <w:bCs/>
          <w:sz w:val="24"/>
          <w:szCs w:val="20"/>
          <w:lang w:val="en-GB"/>
        </w:rPr>
        <w:t>Country Processor)</w:t>
      </w:r>
    </w:p>
    <w:p w14:paraId="61CA0C7C" w14:textId="77777777" w:rsidR="00190B05" w:rsidRPr="0038797C" w:rsidRDefault="00190B05" w:rsidP="00522EED">
      <w:pPr>
        <w:shd w:val="clear" w:color="auto" w:fill="FFFFFF"/>
        <w:spacing w:before="120" w:after="0" w:line="240" w:lineRule="auto"/>
        <w:jc w:val="center"/>
        <w:rPr>
          <w:rFonts w:ascii="Arial" w:eastAsia="Times New Roman" w:hAnsi="Arial" w:cs="Arial"/>
          <w:b/>
          <w:bCs/>
          <w:sz w:val="20"/>
          <w:szCs w:val="20"/>
          <w:lang w:val="en-GB"/>
        </w:rPr>
      </w:pPr>
    </w:p>
    <w:p w14:paraId="1F4DD6CD"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0"/>
          <w:szCs w:val="20"/>
          <w:lang w:val="en-GB"/>
        </w:rPr>
      </w:pPr>
    </w:p>
    <w:p w14:paraId="08364394" w14:textId="77777777" w:rsidR="00AB24F5" w:rsidRPr="00522EED" w:rsidRDefault="00AB24F5" w:rsidP="00522EED">
      <w:pPr>
        <w:shd w:val="clear" w:color="auto" w:fill="FFFFFF"/>
        <w:spacing w:before="120" w:after="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w:t>
      </w:r>
    </w:p>
    <w:p w14:paraId="24CB34B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sz w:val="20"/>
          <w:szCs w:val="20"/>
        </w:rPr>
        <w:t>Purpose and scope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A2D0B47" w14:textId="77777777" w:rsidTr="00AB24F5">
        <w:tc>
          <w:tcPr>
            <w:tcW w:w="0" w:type="auto"/>
            <w:shd w:val="clear" w:color="auto" w:fill="auto"/>
            <w:hideMark/>
          </w:tcPr>
          <w:p w14:paraId="22B25A4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2F3E0AB2" w14:textId="059469FF" w:rsidR="00AB24F5" w:rsidRPr="00522EED" w:rsidRDefault="00AB24F5" w:rsidP="0064266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purpose of these standard contractual clauses is to ensure compliance with the requirements of Regulation (EU) 2016/679 of the European Parliament and of the Council of 27 April 2016 on the protection of natural persons </w:t>
            </w:r>
            <w:proofErr w:type="gramStart"/>
            <w:r w:rsidRPr="00522EED">
              <w:rPr>
                <w:rFonts w:ascii="Arial" w:eastAsia="Times New Roman" w:hAnsi="Arial" w:cs="Arial"/>
                <w:sz w:val="20"/>
                <w:szCs w:val="20"/>
              </w:rPr>
              <w:t>with regard to</w:t>
            </w:r>
            <w:proofErr w:type="gramEnd"/>
            <w:r w:rsidRPr="00522EED">
              <w:rPr>
                <w:rFonts w:ascii="Arial" w:eastAsia="Times New Roman" w:hAnsi="Arial" w:cs="Arial"/>
                <w:sz w:val="20"/>
                <w:szCs w:val="20"/>
              </w:rPr>
              <w:t xml:space="preserve"> the processing of personal data and on the free movement of such data (General Data Protection Regulation)</w:t>
            </w:r>
            <w:r w:rsidR="0025108D">
              <w:rPr>
                <w:rStyle w:val="FootnoteReference"/>
                <w:rFonts w:ascii="Arial" w:eastAsia="Times New Roman" w:hAnsi="Arial" w:cs="Arial"/>
                <w:sz w:val="20"/>
                <w:szCs w:val="20"/>
              </w:rPr>
              <w:footnoteReference w:id="2"/>
            </w:r>
            <w:r w:rsidRPr="00522EED">
              <w:rPr>
                <w:rFonts w:ascii="Arial" w:eastAsia="Times New Roman" w:hAnsi="Arial" w:cs="Arial"/>
                <w:sz w:val="20"/>
                <w:szCs w:val="20"/>
              </w:rPr>
              <w:t> for the transfer of personal data to a third country.</w:t>
            </w:r>
          </w:p>
        </w:tc>
      </w:tr>
    </w:tbl>
    <w:p w14:paraId="2D16A0F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990BA3" w14:textId="77777777" w:rsidTr="00AB24F5">
        <w:tc>
          <w:tcPr>
            <w:tcW w:w="0" w:type="auto"/>
            <w:shd w:val="clear" w:color="auto" w:fill="auto"/>
            <w:hideMark/>
          </w:tcPr>
          <w:p w14:paraId="582A45C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68C49F0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208D109B" w14:textId="77777777">
              <w:tc>
                <w:tcPr>
                  <w:tcW w:w="0" w:type="auto"/>
                  <w:shd w:val="clear" w:color="auto" w:fill="auto"/>
                  <w:hideMark/>
                </w:tcPr>
                <w:p w14:paraId="5A162D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1FCD42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natural or legal person(s), public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agency/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or other body/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(hereinafter ‘</w:t>
                  </w:r>
                  <w:r w:rsidRPr="00522EED">
                    <w:rPr>
                      <w:rFonts w:ascii="Arial" w:eastAsia="Times New Roman" w:hAnsi="Arial" w:cs="Arial"/>
                      <w:b/>
                      <w:sz w:val="20"/>
                      <w:szCs w:val="20"/>
                    </w:rPr>
                    <w:t>entity/</w:t>
                  </w:r>
                  <w:proofErr w:type="spellStart"/>
                  <w:r w:rsidRPr="00522EED">
                    <w:rPr>
                      <w:rFonts w:ascii="Arial" w:eastAsia="Times New Roman" w:hAnsi="Arial" w:cs="Arial"/>
                      <w:b/>
                      <w:sz w:val="20"/>
                      <w:szCs w:val="20"/>
                    </w:rPr>
                    <w:t>ies</w:t>
                  </w:r>
                  <w:r w:rsidRPr="00522EED">
                    <w:rPr>
                      <w:rFonts w:ascii="Arial" w:eastAsia="Times New Roman" w:hAnsi="Arial" w:cs="Arial"/>
                      <w:sz w:val="20"/>
                      <w:szCs w:val="20"/>
                    </w:rPr>
                    <w:t>’</w:t>
                  </w:r>
                  <w:proofErr w:type="spellEnd"/>
                  <w:r w:rsidRPr="00522EED">
                    <w:rPr>
                      <w:rFonts w:ascii="Arial" w:eastAsia="Times New Roman" w:hAnsi="Arial" w:cs="Arial"/>
                      <w:sz w:val="20"/>
                      <w:szCs w:val="20"/>
                    </w:rPr>
                    <w:t>) transferring the personal data, as listed in Annex I.A (hereinafter each ‘</w:t>
                  </w:r>
                  <w:r w:rsidRPr="00522EED">
                    <w:rPr>
                      <w:rFonts w:ascii="Arial" w:eastAsia="Times New Roman" w:hAnsi="Arial" w:cs="Arial"/>
                      <w:b/>
                      <w:sz w:val="20"/>
                      <w:szCs w:val="20"/>
                    </w:rPr>
                    <w:t>data exporter</w:t>
                  </w:r>
                  <w:r w:rsidRPr="00522EED">
                    <w:rPr>
                      <w:rFonts w:ascii="Arial" w:eastAsia="Times New Roman" w:hAnsi="Arial" w:cs="Arial"/>
                      <w:sz w:val="20"/>
                      <w:szCs w:val="20"/>
                    </w:rPr>
                    <w:t>’), and</w:t>
                  </w:r>
                </w:p>
              </w:tc>
            </w:tr>
          </w:tbl>
          <w:p w14:paraId="5EC2DEFA"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61F9C25A" w14:textId="77777777">
              <w:tc>
                <w:tcPr>
                  <w:tcW w:w="0" w:type="auto"/>
                  <w:shd w:val="clear" w:color="auto" w:fill="auto"/>
                  <w:hideMark/>
                </w:tcPr>
                <w:p w14:paraId="74F1006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5CA932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entity/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in a third country receiving the personal data from the data exporter, directly or indirectly via another entity also Party to these Clauses, as listed in Annex I.A (hereinafter each ‘</w:t>
                  </w:r>
                  <w:r w:rsidRPr="00522EED">
                    <w:rPr>
                      <w:rFonts w:ascii="Arial" w:eastAsia="Times New Roman" w:hAnsi="Arial" w:cs="Arial"/>
                      <w:b/>
                      <w:sz w:val="20"/>
                      <w:szCs w:val="20"/>
                    </w:rPr>
                    <w:t>data importer</w:t>
                  </w:r>
                  <w:r w:rsidRPr="00522EED">
                    <w:rPr>
                      <w:rFonts w:ascii="Arial" w:eastAsia="Times New Roman" w:hAnsi="Arial" w:cs="Arial"/>
                      <w:sz w:val="20"/>
                      <w:szCs w:val="20"/>
                    </w:rPr>
                    <w:t>’)</w:t>
                  </w:r>
                </w:p>
              </w:tc>
            </w:tr>
          </w:tbl>
          <w:p w14:paraId="45A1CF4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have agreed to these standard contractual clauses (hereinafter: ‘</w:t>
            </w:r>
            <w:r w:rsidRPr="00522EED">
              <w:rPr>
                <w:rFonts w:ascii="Arial" w:eastAsia="Times New Roman" w:hAnsi="Arial" w:cs="Arial"/>
                <w:b/>
                <w:sz w:val="20"/>
                <w:szCs w:val="20"/>
              </w:rPr>
              <w:t>Clauses</w:t>
            </w:r>
            <w:r w:rsidRPr="00522EED">
              <w:rPr>
                <w:rFonts w:ascii="Arial" w:eastAsia="Times New Roman" w:hAnsi="Arial" w:cs="Arial"/>
                <w:sz w:val="20"/>
                <w:szCs w:val="20"/>
              </w:rPr>
              <w:t>’).</w:t>
            </w:r>
          </w:p>
        </w:tc>
      </w:tr>
    </w:tbl>
    <w:p w14:paraId="6960654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54"/>
        <w:gridCol w:w="8772"/>
      </w:tblGrid>
      <w:tr w:rsidR="00522EED" w:rsidRPr="00522EED" w14:paraId="60A22E6D" w14:textId="77777777" w:rsidTr="00AB24F5">
        <w:tc>
          <w:tcPr>
            <w:tcW w:w="0" w:type="auto"/>
            <w:shd w:val="clear" w:color="auto" w:fill="auto"/>
            <w:hideMark/>
          </w:tcPr>
          <w:p w14:paraId="321B02D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514860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apply with respect to the transfer of personal data as specified in Annex I.B.</w:t>
            </w:r>
          </w:p>
        </w:tc>
      </w:tr>
    </w:tbl>
    <w:p w14:paraId="48DBF30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FCEB7D" w14:textId="77777777" w:rsidTr="00AB24F5">
        <w:tc>
          <w:tcPr>
            <w:tcW w:w="0" w:type="auto"/>
            <w:shd w:val="clear" w:color="auto" w:fill="auto"/>
            <w:hideMark/>
          </w:tcPr>
          <w:p w14:paraId="390613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3938400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Appendix to these Clauses containing the Annexes referred to therein forms an integral part of these Clauses.</w:t>
            </w:r>
          </w:p>
        </w:tc>
      </w:tr>
    </w:tbl>
    <w:p w14:paraId="2AE2F4ED" w14:textId="77777777" w:rsidR="00AB24F5" w:rsidRPr="00522EED" w:rsidRDefault="00AB24F5" w:rsidP="00522EED">
      <w:pPr>
        <w:shd w:val="clear" w:color="auto" w:fill="FFFFFF"/>
        <w:spacing w:before="240" w:after="240" w:line="240" w:lineRule="auto"/>
        <w:jc w:val="both"/>
        <w:rPr>
          <w:rFonts w:ascii="Arial" w:eastAsia="Times New Roman" w:hAnsi="Arial" w:cs="Arial"/>
          <w:b/>
          <w:bCs/>
          <w:i/>
          <w:iCs/>
          <w:sz w:val="20"/>
          <w:szCs w:val="20"/>
        </w:rPr>
      </w:pPr>
      <w:r w:rsidRPr="00522EED">
        <w:rPr>
          <w:rFonts w:ascii="Arial" w:eastAsia="Times New Roman" w:hAnsi="Arial" w:cs="Arial"/>
          <w:b/>
          <w:bCs/>
          <w:i/>
          <w:iCs/>
          <w:sz w:val="20"/>
          <w:szCs w:val="20"/>
        </w:rPr>
        <w:t>Clause 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i/>
          <w:iCs/>
          <w:sz w:val="20"/>
          <w:szCs w:val="20"/>
        </w:rPr>
        <w:t>Effect and invariability of the Clauses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DCD2AC" w14:textId="77777777" w:rsidTr="00AB24F5">
        <w:tc>
          <w:tcPr>
            <w:tcW w:w="0" w:type="auto"/>
            <w:shd w:val="clear" w:color="auto" w:fill="auto"/>
            <w:hideMark/>
          </w:tcPr>
          <w:p w14:paraId="5FDAEB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6C934C2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These Clauses set out appropriate safeguards, including enforceable data subject rights and effective legal remedies, pursuant to Article 46(1) and Article 46(2)(c) of Regulation (EU) 2016/679 and, with respect to data transfers from controllers to processors and/or processors to processors, standard contractual clauses pursuant to Article 28(7) of Regulation (EU) 2016/679, provided they are not modified, except to select the appropriate Module(s) or to add or update information in the Appendix. This does not prevent the Parties from including the standard contractual clauses laid down in these Clauses in a wider contract and/or to add other clauses or additional safeguards, </w:t>
            </w:r>
            <w:proofErr w:type="gramStart"/>
            <w:r w:rsidRPr="00522EED">
              <w:rPr>
                <w:rFonts w:ascii="Arial" w:eastAsia="Times New Roman" w:hAnsi="Arial" w:cs="Arial"/>
                <w:sz w:val="20"/>
                <w:szCs w:val="20"/>
              </w:rPr>
              <w:t>provided that</w:t>
            </w:r>
            <w:proofErr w:type="gramEnd"/>
            <w:r w:rsidRPr="00522EED">
              <w:rPr>
                <w:rFonts w:ascii="Arial" w:eastAsia="Times New Roman" w:hAnsi="Arial" w:cs="Arial"/>
                <w:sz w:val="20"/>
                <w:szCs w:val="20"/>
              </w:rPr>
              <w:t xml:space="preserve"> they do not contradict, directly or indirectly, these Clauses or prejudice the fundamental rights or freedoms of data subjects.</w:t>
            </w:r>
          </w:p>
        </w:tc>
      </w:tr>
    </w:tbl>
    <w:p w14:paraId="578B095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EC75B2A" w14:textId="77777777" w:rsidTr="00AB24F5">
        <w:tc>
          <w:tcPr>
            <w:tcW w:w="0" w:type="auto"/>
            <w:shd w:val="clear" w:color="auto" w:fill="auto"/>
            <w:hideMark/>
          </w:tcPr>
          <w:p w14:paraId="0BF24E4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(b)</w:t>
            </w:r>
          </w:p>
        </w:tc>
        <w:tc>
          <w:tcPr>
            <w:tcW w:w="0" w:type="auto"/>
            <w:shd w:val="clear" w:color="auto" w:fill="auto"/>
            <w:hideMark/>
          </w:tcPr>
          <w:p w14:paraId="69B20DC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are without prejudice to obligations to which the data exporter is subject by virtue of Regulation (EU) 2016/679.</w:t>
            </w:r>
          </w:p>
        </w:tc>
      </w:tr>
    </w:tbl>
    <w:p w14:paraId="71014C3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Third-party beneficiaries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B78D6A7" w14:textId="77777777" w:rsidTr="00AB24F5">
        <w:tc>
          <w:tcPr>
            <w:tcW w:w="0" w:type="auto"/>
            <w:shd w:val="clear" w:color="auto" w:fill="auto"/>
            <w:hideMark/>
          </w:tcPr>
          <w:p w14:paraId="59D60B2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377FA3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Data subjects may invoke and enforce these Clauses, as third-party beneficiaries, against the data exporter and/or data importer, with the following exceptions:</w:t>
            </w:r>
          </w:p>
          <w:tbl>
            <w:tblPr>
              <w:tblW w:w="5000" w:type="pct"/>
              <w:tblCellMar>
                <w:left w:w="0" w:type="dxa"/>
                <w:right w:w="0" w:type="dxa"/>
              </w:tblCellMar>
              <w:tblLook w:val="04A0" w:firstRow="1" w:lastRow="0" w:firstColumn="1" w:lastColumn="0" w:noHBand="0" w:noVBand="1"/>
            </w:tblPr>
            <w:tblGrid>
              <w:gridCol w:w="338"/>
              <w:gridCol w:w="8443"/>
            </w:tblGrid>
            <w:tr w:rsidR="00522EED" w:rsidRPr="00522EED" w14:paraId="3A46DB98" w14:textId="77777777">
              <w:tc>
                <w:tcPr>
                  <w:tcW w:w="0" w:type="auto"/>
                  <w:shd w:val="clear" w:color="auto" w:fill="auto"/>
                  <w:hideMark/>
                </w:tcPr>
                <w:p w14:paraId="2CC7F32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0DC785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 Clause 2, Clause 3, Clause 6, Clause 7;</w:t>
                  </w:r>
                </w:p>
              </w:tc>
            </w:tr>
          </w:tbl>
          <w:p w14:paraId="4B633AB2"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46"/>
              <w:gridCol w:w="8435"/>
            </w:tblGrid>
            <w:tr w:rsidR="00522EED" w:rsidRPr="00522EED" w14:paraId="715A60AF" w14:textId="77777777">
              <w:tc>
                <w:tcPr>
                  <w:tcW w:w="0" w:type="auto"/>
                  <w:shd w:val="clear" w:color="auto" w:fill="auto"/>
                  <w:hideMark/>
                </w:tcPr>
                <w:p w14:paraId="38CFAEC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12701821"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8 –Module Two: Clause 8.1(b), 8.9(a), (c), (d) and (e);</w:t>
                  </w:r>
                </w:p>
              </w:tc>
            </w:tr>
          </w:tbl>
          <w:p w14:paraId="333C0A58"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73"/>
              <w:gridCol w:w="8308"/>
            </w:tblGrid>
            <w:tr w:rsidR="00522EED" w:rsidRPr="00522EED" w14:paraId="2460149C" w14:textId="77777777">
              <w:tc>
                <w:tcPr>
                  <w:tcW w:w="0" w:type="auto"/>
                  <w:shd w:val="clear" w:color="auto" w:fill="auto"/>
                  <w:hideMark/>
                </w:tcPr>
                <w:p w14:paraId="216593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shd w:val="clear" w:color="auto" w:fill="auto"/>
                  <w:hideMark/>
                </w:tcPr>
                <w:p w14:paraId="50DF5F83"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Clause 9 – Module Two: Clause 9(a), (c), (d) and (e); </w:t>
                  </w:r>
                </w:p>
              </w:tc>
            </w:tr>
          </w:tbl>
          <w:p w14:paraId="15036D5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505"/>
              <w:gridCol w:w="8276"/>
            </w:tblGrid>
            <w:tr w:rsidR="00522EED" w:rsidRPr="00522EED" w14:paraId="70CA4DB9" w14:textId="77777777">
              <w:tc>
                <w:tcPr>
                  <w:tcW w:w="0" w:type="auto"/>
                  <w:shd w:val="clear" w:color="auto" w:fill="auto"/>
                  <w:hideMark/>
                </w:tcPr>
                <w:p w14:paraId="3F86F6E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shd w:val="clear" w:color="auto" w:fill="auto"/>
                  <w:hideMark/>
                </w:tcPr>
                <w:p w14:paraId="37B9DFC5" w14:textId="77777777" w:rsidR="00190B0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12 –Modules Two: Clause 12(a), (d) and (f);</w:t>
                  </w:r>
                </w:p>
              </w:tc>
            </w:tr>
          </w:tbl>
          <w:p w14:paraId="1C14A52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90" w:type="pct"/>
              <w:tblCellMar>
                <w:left w:w="0" w:type="dxa"/>
                <w:right w:w="0" w:type="dxa"/>
              </w:tblCellMar>
              <w:tblLook w:val="04A0" w:firstRow="1" w:lastRow="0" w:firstColumn="1" w:lastColumn="0" w:noHBand="0" w:noVBand="1"/>
            </w:tblPr>
            <w:tblGrid>
              <w:gridCol w:w="302"/>
              <w:gridCol w:w="7056"/>
            </w:tblGrid>
            <w:tr w:rsidR="00522EED" w:rsidRPr="00522EED" w14:paraId="1B4B1F8C" w14:textId="77777777" w:rsidTr="00190B05">
              <w:tc>
                <w:tcPr>
                  <w:tcW w:w="205" w:type="pct"/>
                  <w:shd w:val="clear" w:color="auto" w:fill="auto"/>
                  <w:hideMark/>
                </w:tcPr>
                <w:p w14:paraId="5F106EDB" w14:textId="77777777" w:rsidR="00AB24F5" w:rsidRPr="00522EED" w:rsidRDefault="00AB24F5" w:rsidP="00190B05">
                  <w:pPr>
                    <w:spacing w:before="120" w:after="0" w:line="240" w:lineRule="auto"/>
                    <w:ind w:right="-4111"/>
                    <w:jc w:val="both"/>
                    <w:rPr>
                      <w:rFonts w:ascii="Arial" w:eastAsia="Times New Roman" w:hAnsi="Arial" w:cs="Arial"/>
                      <w:sz w:val="20"/>
                      <w:szCs w:val="20"/>
                    </w:rPr>
                  </w:pPr>
                  <w:r w:rsidRPr="00522EED">
                    <w:rPr>
                      <w:rFonts w:ascii="Arial" w:eastAsia="Times New Roman" w:hAnsi="Arial" w:cs="Arial"/>
                      <w:sz w:val="20"/>
                      <w:szCs w:val="20"/>
                    </w:rPr>
                    <w:t>(v)</w:t>
                  </w:r>
                  <w:r w:rsidR="00190B05">
                    <w:rPr>
                      <w:rFonts w:ascii="Arial" w:eastAsia="Times New Roman" w:hAnsi="Arial" w:cs="Arial"/>
                      <w:sz w:val="20"/>
                      <w:szCs w:val="20"/>
                    </w:rPr>
                    <w:t xml:space="preserve"> </w:t>
                  </w:r>
                </w:p>
              </w:tc>
              <w:tc>
                <w:tcPr>
                  <w:tcW w:w="0" w:type="auto"/>
                  <w:shd w:val="clear" w:color="auto" w:fill="auto"/>
                  <w:hideMark/>
                </w:tcPr>
                <w:p w14:paraId="1479AF6A" w14:textId="77777777" w:rsidR="00AB24F5" w:rsidRPr="00522EED" w:rsidRDefault="00AB24F5" w:rsidP="00190B05">
                  <w:pPr>
                    <w:spacing w:before="120" w:after="0" w:line="240" w:lineRule="auto"/>
                    <w:ind w:left="-3" w:right="-4111"/>
                    <w:jc w:val="both"/>
                    <w:rPr>
                      <w:rFonts w:ascii="Arial" w:eastAsia="Times New Roman" w:hAnsi="Arial" w:cs="Arial"/>
                      <w:sz w:val="20"/>
                      <w:szCs w:val="20"/>
                    </w:rPr>
                  </w:pPr>
                  <w:r w:rsidRPr="00522EED">
                    <w:rPr>
                      <w:rFonts w:ascii="Arial" w:eastAsia="Times New Roman" w:hAnsi="Arial" w:cs="Arial"/>
                      <w:sz w:val="20"/>
                      <w:szCs w:val="20"/>
                    </w:rPr>
                    <w:t>Clause 13;</w:t>
                  </w:r>
                </w:p>
              </w:tc>
            </w:tr>
          </w:tbl>
          <w:p w14:paraId="2C05ED8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653" w:type="pct"/>
              <w:tblCellMar>
                <w:left w:w="0" w:type="dxa"/>
                <w:right w:w="0" w:type="dxa"/>
              </w:tblCellMar>
              <w:tblLook w:val="04A0" w:firstRow="1" w:lastRow="0" w:firstColumn="1" w:lastColumn="0" w:noHBand="0" w:noVBand="1"/>
            </w:tblPr>
            <w:tblGrid>
              <w:gridCol w:w="302"/>
              <w:gridCol w:w="7870"/>
            </w:tblGrid>
            <w:tr w:rsidR="00522EED" w:rsidRPr="00522EED" w14:paraId="20842817" w14:textId="77777777" w:rsidTr="00190B05">
              <w:tc>
                <w:tcPr>
                  <w:tcW w:w="185" w:type="pct"/>
                  <w:shd w:val="clear" w:color="auto" w:fill="auto"/>
                  <w:hideMark/>
                </w:tcPr>
                <w:p w14:paraId="7A75A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w:t>
                  </w:r>
                </w:p>
              </w:tc>
              <w:tc>
                <w:tcPr>
                  <w:tcW w:w="0" w:type="auto"/>
                  <w:shd w:val="clear" w:color="auto" w:fill="auto"/>
                  <w:hideMark/>
                </w:tcPr>
                <w:p w14:paraId="0ECE6EF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15.1(c), (d) and (e);</w:t>
                  </w:r>
                </w:p>
              </w:tc>
            </w:tr>
          </w:tbl>
          <w:p w14:paraId="0902C7D6"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12" w:type="pct"/>
              <w:tblCellMar>
                <w:left w:w="0" w:type="dxa"/>
                <w:right w:w="0" w:type="dxa"/>
              </w:tblCellMar>
              <w:tblLook w:val="04A0" w:firstRow="1" w:lastRow="0" w:firstColumn="1" w:lastColumn="0" w:noHBand="0" w:noVBand="1"/>
            </w:tblPr>
            <w:tblGrid>
              <w:gridCol w:w="323"/>
              <w:gridCol w:w="6898"/>
            </w:tblGrid>
            <w:tr w:rsidR="00522EED" w:rsidRPr="00522EED" w14:paraId="5608BF1F" w14:textId="77777777" w:rsidTr="00190B05">
              <w:tc>
                <w:tcPr>
                  <w:tcW w:w="209" w:type="pct"/>
                  <w:shd w:val="clear" w:color="auto" w:fill="auto"/>
                  <w:hideMark/>
                </w:tcPr>
                <w:p w14:paraId="4AB9092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w:t>
                  </w:r>
                  <w:r w:rsidR="00190B05">
                    <w:rPr>
                      <w:rFonts w:ascii="Arial" w:eastAsia="Times New Roman" w:hAnsi="Arial" w:cs="Arial"/>
                      <w:sz w:val="20"/>
                      <w:szCs w:val="20"/>
                    </w:rPr>
                    <w:t xml:space="preserve">  </w:t>
                  </w:r>
                </w:p>
              </w:tc>
              <w:tc>
                <w:tcPr>
                  <w:tcW w:w="0" w:type="auto"/>
                  <w:shd w:val="clear" w:color="auto" w:fill="auto"/>
                  <w:hideMark/>
                </w:tcPr>
                <w:p w14:paraId="37A1D22C" w14:textId="77777777" w:rsidR="00AB24F5" w:rsidRPr="00522EED" w:rsidRDefault="00190B05"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522EED">
                    <w:rPr>
                      <w:rFonts w:ascii="Arial" w:eastAsia="Times New Roman" w:hAnsi="Arial" w:cs="Arial"/>
                      <w:sz w:val="20"/>
                      <w:szCs w:val="20"/>
                    </w:rPr>
                    <w:t>Clause 16(e);</w:t>
                  </w:r>
                </w:p>
              </w:tc>
            </w:tr>
          </w:tbl>
          <w:p w14:paraId="2898D9A3"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688"/>
              <w:gridCol w:w="8093"/>
            </w:tblGrid>
            <w:tr w:rsidR="00522EED" w:rsidRPr="00522EED" w14:paraId="308C8F32" w14:textId="77777777">
              <w:tc>
                <w:tcPr>
                  <w:tcW w:w="0" w:type="auto"/>
                  <w:shd w:val="clear" w:color="auto" w:fill="auto"/>
                  <w:hideMark/>
                </w:tcPr>
                <w:p w14:paraId="0AE1FFB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(viii)</w:t>
                  </w:r>
                </w:p>
              </w:tc>
              <w:tc>
                <w:tcPr>
                  <w:tcW w:w="0" w:type="auto"/>
                  <w:shd w:val="clear" w:color="auto" w:fill="auto"/>
                  <w:hideMark/>
                </w:tcPr>
                <w:p w14:paraId="1B1C87A5" w14:textId="77777777" w:rsidR="00AB24F5" w:rsidRPr="00522EED" w:rsidRDefault="00AB24F5" w:rsidP="006E5814">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Clause 18 – Modules Two: Clause 18(a) and (b).</w:t>
                  </w:r>
                </w:p>
              </w:tc>
            </w:tr>
          </w:tbl>
          <w:p w14:paraId="1B5E4B3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35CF6B5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2"/>
        <w:gridCol w:w="8764"/>
      </w:tblGrid>
      <w:tr w:rsidR="00522EED" w:rsidRPr="00522EED" w14:paraId="079CE9CE" w14:textId="77777777" w:rsidTr="00AB24F5">
        <w:tc>
          <w:tcPr>
            <w:tcW w:w="0" w:type="auto"/>
            <w:shd w:val="clear" w:color="auto" w:fill="auto"/>
            <w:hideMark/>
          </w:tcPr>
          <w:p w14:paraId="71556B3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74FF779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 (a) is without prejudice to rights of data subjects under Regulation (EU) 2016/679.</w:t>
            </w:r>
          </w:p>
        </w:tc>
      </w:tr>
    </w:tbl>
    <w:p w14:paraId="29C22B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Interpretation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9DF088" w14:textId="77777777" w:rsidTr="00AB24F5">
        <w:tc>
          <w:tcPr>
            <w:tcW w:w="0" w:type="auto"/>
            <w:shd w:val="clear" w:color="auto" w:fill="auto"/>
            <w:hideMark/>
          </w:tcPr>
          <w:p w14:paraId="19105DE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23EF83B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these Clauses use terms that are defined in Regulation (EU) 2016/679, those terms shall have the same meaning as in that Regulation.</w:t>
            </w:r>
          </w:p>
        </w:tc>
      </w:tr>
    </w:tbl>
    <w:p w14:paraId="642169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0630709" w14:textId="77777777" w:rsidTr="00AB24F5">
        <w:tc>
          <w:tcPr>
            <w:tcW w:w="0" w:type="auto"/>
            <w:shd w:val="clear" w:color="auto" w:fill="auto"/>
            <w:hideMark/>
          </w:tcPr>
          <w:p w14:paraId="70D724A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08A656F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be read and interpreted in the light of the provisions of Regulation (EU) 2016/679.</w:t>
            </w:r>
          </w:p>
        </w:tc>
      </w:tr>
    </w:tbl>
    <w:p w14:paraId="2211E52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46F0BCB" w14:textId="77777777" w:rsidTr="00AB24F5">
        <w:tc>
          <w:tcPr>
            <w:tcW w:w="0" w:type="auto"/>
            <w:shd w:val="clear" w:color="auto" w:fill="auto"/>
            <w:hideMark/>
          </w:tcPr>
          <w:p w14:paraId="2390A67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7F4EFD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These Clauses shall not be interpreted in a way that conflicts with rights and obligations provided for in Regulation (EU) 2016/679.</w:t>
            </w:r>
          </w:p>
        </w:tc>
      </w:tr>
    </w:tbl>
    <w:p w14:paraId="032416E2"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5</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Hierarchy</w:t>
      </w:r>
    </w:p>
    <w:p w14:paraId="1A8E8F0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In the event of a contradiction between these Clauses and the provisions of related agreements between the Parties, existing at the time these Clauses are agreed or </w:t>
      </w:r>
      <w:proofErr w:type="gramStart"/>
      <w:r w:rsidRPr="00522EED">
        <w:rPr>
          <w:rFonts w:ascii="Arial" w:eastAsia="Times New Roman" w:hAnsi="Arial" w:cs="Arial"/>
          <w:sz w:val="20"/>
          <w:szCs w:val="20"/>
        </w:rPr>
        <w:t>entered into</w:t>
      </w:r>
      <w:proofErr w:type="gramEnd"/>
      <w:r w:rsidRPr="00522EED">
        <w:rPr>
          <w:rFonts w:ascii="Arial" w:eastAsia="Times New Roman" w:hAnsi="Arial" w:cs="Arial"/>
          <w:sz w:val="20"/>
          <w:szCs w:val="20"/>
        </w:rPr>
        <w:t xml:space="preserve"> thereafter, these Clauses shall prevail.</w:t>
      </w:r>
    </w:p>
    <w:p w14:paraId="6A12D35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6</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Description of the transfer(s)</w:t>
      </w:r>
    </w:p>
    <w:p w14:paraId="6F42BDD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details of the transfer(s), and in particular the categories of personal data that are transferred and the purpose(s) for which they are transferred, are specified in Annex I.B.</w:t>
      </w:r>
    </w:p>
    <w:p w14:paraId="6E79F05E"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 xml:space="preserve">Clause 7 </w:t>
      </w:r>
      <w:r w:rsidR="004B0E85" w:rsidRPr="00522EED">
        <w:rPr>
          <w:rFonts w:ascii="Arial" w:eastAsia="Times New Roman" w:hAnsi="Arial" w:cs="Arial"/>
          <w:b/>
          <w:bCs/>
          <w:i/>
          <w:iCs/>
          <w:sz w:val="20"/>
          <w:szCs w:val="20"/>
        </w:rPr>
        <w:t xml:space="preserve">- </w:t>
      </w:r>
      <w:r w:rsidRPr="00522EED">
        <w:rPr>
          <w:rFonts w:ascii="Arial" w:eastAsia="Times New Roman" w:hAnsi="Arial" w:cs="Arial"/>
          <w:b/>
          <w:bCs/>
          <w:sz w:val="20"/>
          <w:szCs w:val="20"/>
        </w:rPr>
        <w:t xml:space="preserve">Docking </w:t>
      </w:r>
      <w:proofErr w:type="gramStart"/>
      <w:r w:rsidRPr="00522EED">
        <w:rPr>
          <w:rFonts w:ascii="Arial" w:eastAsia="Times New Roman" w:hAnsi="Arial" w:cs="Arial"/>
          <w:b/>
          <w:bCs/>
          <w:sz w:val="20"/>
          <w:szCs w:val="20"/>
        </w:rPr>
        <w:t>clause</w:t>
      </w:r>
      <w:proofErr w:type="gramEnd"/>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59F32C5" w14:textId="77777777" w:rsidTr="00AB24F5">
        <w:tc>
          <w:tcPr>
            <w:tcW w:w="0" w:type="auto"/>
            <w:shd w:val="clear" w:color="auto" w:fill="auto"/>
            <w:hideMark/>
          </w:tcPr>
          <w:p w14:paraId="57072B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4917EB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 entity that is not a Party to these Clauses may, with the agreement of the Parties, accede to these Clauses at any time, either as a data exporter or as a data importer, by completing the Appendix and signing Annex I.A.</w:t>
            </w:r>
          </w:p>
        </w:tc>
      </w:tr>
    </w:tbl>
    <w:p w14:paraId="376B8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AC1257" w14:textId="77777777" w:rsidTr="00AB24F5">
        <w:tc>
          <w:tcPr>
            <w:tcW w:w="0" w:type="auto"/>
            <w:shd w:val="clear" w:color="auto" w:fill="auto"/>
            <w:hideMark/>
          </w:tcPr>
          <w:p w14:paraId="33F0678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28C0EF6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Once it has completed the Appendix and signed Annex I.A, the acceding entity shall become a Party to these Clauses and have the rights and obligations of a data exporter or data importer in accordance with its designation in Annex I.A.</w:t>
            </w:r>
          </w:p>
        </w:tc>
      </w:tr>
    </w:tbl>
    <w:p w14:paraId="40484CA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157D3605" w14:textId="77777777" w:rsidTr="00AB24F5">
        <w:tc>
          <w:tcPr>
            <w:tcW w:w="0" w:type="auto"/>
            <w:shd w:val="clear" w:color="auto" w:fill="auto"/>
            <w:hideMark/>
          </w:tcPr>
          <w:p w14:paraId="30B078B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7D147945" w14:textId="77777777" w:rsidR="00194540"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acceding entity shall have no rights or obligations arising under these Clauses from the period prior to becoming a Party.</w:t>
            </w:r>
          </w:p>
        </w:tc>
      </w:tr>
    </w:tbl>
    <w:p w14:paraId="7F8E0B4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 – OBLIGATIONS OF THE PARTIES</w:t>
      </w:r>
    </w:p>
    <w:p w14:paraId="0754464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8</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protection safeguards</w:t>
      </w:r>
    </w:p>
    <w:p w14:paraId="471868A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exporter warrants that it has used reasonable efforts to determine that the data importer is able, through the implementation of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satisfy its obligations under these Clauses.</w:t>
      </w:r>
    </w:p>
    <w:p w14:paraId="0E73D99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p w14:paraId="0D6F2032"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8.1   Instructions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C543998" w14:textId="77777777" w:rsidTr="00AB24F5">
        <w:tc>
          <w:tcPr>
            <w:tcW w:w="0" w:type="auto"/>
            <w:shd w:val="clear" w:color="auto" w:fill="auto"/>
            <w:hideMark/>
          </w:tcPr>
          <w:p w14:paraId="7B32C3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657C4AF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on documented instructions from the data exporter. The data exporter may give such instructions throughout the duration of the contract.</w:t>
            </w:r>
          </w:p>
        </w:tc>
      </w:tr>
    </w:tbl>
    <w:p w14:paraId="76327CF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2707EEC8" w14:textId="77777777" w:rsidTr="00AB24F5">
        <w:tc>
          <w:tcPr>
            <w:tcW w:w="0" w:type="auto"/>
            <w:shd w:val="clear" w:color="auto" w:fill="auto"/>
            <w:hideMark/>
          </w:tcPr>
          <w:p w14:paraId="09F02C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5DDA9EB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immediately inform the data exporter if it is unable to follow those instructions.</w:t>
            </w:r>
          </w:p>
        </w:tc>
      </w:tr>
    </w:tbl>
    <w:p w14:paraId="766044B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8.2   Purpose limitation</w:t>
      </w:r>
    </w:p>
    <w:p w14:paraId="663A484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process the personal data only for the specific purpose(s) of the transfer, as set out in Annex I.B, unless on further instructions from the data exporter.</w:t>
      </w:r>
    </w:p>
    <w:p w14:paraId="64F38D0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8.3   Transparency</w:t>
      </w:r>
    </w:p>
    <w:p w14:paraId="6E7733F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On request, the data exporter shall make a copy of these Clauses, including the Appendix as completed by the Parties, available to the data subject free of charge. To the extent necessary to protect business secrets or other confidential information, including the measures described in Annex II and personal data, the data exporter may redact part of the text of the Appendix to these Clauses prior to sharing a copy, but shall provide a meaningful summary where the data subject would otherwise not be able to understand </w:t>
      </w:r>
      <w:proofErr w:type="gramStart"/>
      <w:r w:rsidRPr="00522EED">
        <w:rPr>
          <w:rFonts w:ascii="Arial" w:eastAsia="Times New Roman" w:hAnsi="Arial" w:cs="Arial"/>
          <w:sz w:val="20"/>
          <w:szCs w:val="20"/>
        </w:rPr>
        <w:t>the its</w:t>
      </w:r>
      <w:proofErr w:type="gramEnd"/>
      <w:r w:rsidRPr="00522EED">
        <w:rPr>
          <w:rFonts w:ascii="Arial" w:eastAsia="Times New Roman" w:hAnsi="Arial" w:cs="Arial"/>
          <w:sz w:val="20"/>
          <w:szCs w:val="20"/>
        </w:rPr>
        <w:t xml:space="preserve"> content or exercise his/her rights. On request, the Parties shall provide the data subject with the reasons for the redactions, to the extent possible without revealing the redacted information. This Clause is without prejudice to the obligations of the data exporter under Articles 13 and 14 of Regulation (EU) 2016/679.</w:t>
      </w:r>
    </w:p>
    <w:p w14:paraId="6E1086E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8.4   Accuracy</w:t>
      </w:r>
    </w:p>
    <w:p w14:paraId="0B15455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If the data importer becomes aware that the personal data it has received is inaccurate, or has become outdated, it shall inform the data exporter without undue delay. In this case, the data importer shall cooperate with the data exporter to erase or rectify the data.</w:t>
      </w:r>
    </w:p>
    <w:p w14:paraId="4A11A4D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 xml:space="preserve">8.5   Duration of processing and erasure or return of </w:t>
      </w:r>
      <w:proofErr w:type="gramStart"/>
      <w:r w:rsidRPr="00522EED">
        <w:rPr>
          <w:rFonts w:ascii="Arial" w:eastAsia="Times New Roman" w:hAnsi="Arial" w:cs="Arial"/>
          <w:b/>
          <w:bCs/>
          <w:sz w:val="20"/>
          <w:szCs w:val="20"/>
        </w:rPr>
        <w:t>data</w:t>
      </w:r>
      <w:proofErr w:type="gramEnd"/>
    </w:p>
    <w:p w14:paraId="21EED4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Processing by the data importer shall only take place for the duration specified in Annex I.B. After the end of the provision of the processing services, the data importer shall, at the choice of the data exporter, delete all personal data processed on behalf of the data exporter and certify to the data exporter that it has done so, or return to the data exporter all personal data processed on its behalf and </w:t>
      </w:r>
      <w:r w:rsidRPr="00522EED">
        <w:rPr>
          <w:rFonts w:ascii="Arial" w:eastAsia="Times New Roman" w:hAnsi="Arial" w:cs="Arial"/>
          <w:sz w:val="20"/>
          <w:szCs w:val="20"/>
        </w:rPr>
        <w:lastRenderedPageBreak/>
        <w:t xml:space="preserve">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w:t>
      </w:r>
      <w:proofErr w:type="gramStart"/>
      <w:r w:rsidRPr="00522EED">
        <w:rPr>
          <w:rFonts w:ascii="Arial" w:eastAsia="Times New Roman" w:hAnsi="Arial" w:cs="Arial"/>
          <w:sz w:val="20"/>
          <w:szCs w:val="20"/>
        </w:rPr>
        <w:t>in particular the</w:t>
      </w:r>
      <w:proofErr w:type="gramEnd"/>
      <w:r w:rsidRPr="00522EED">
        <w:rPr>
          <w:rFonts w:ascii="Arial" w:eastAsia="Times New Roman" w:hAnsi="Arial" w:cs="Arial"/>
          <w:sz w:val="20"/>
          <w:szCs w:val="20"/>
        </w:rPr>
        <w:t xml:space="preserve"> requirement for the data importer under Clause 14(e) to notify the data exporter throughout the duration of the contract if it has reason to believe that it is or has become subject to laws or practices not in line with the requirements under Clause 14(a).</w:t>
      </w:r>
    </w:p>
    <w:p w14:paraId="62585C7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8.6   Security of processing</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EC16BFA" w14:textId="77777777" w:rsidTr="00AB24F5">
        <w:tc>
          <w:tcPr>
            <w:tcW w:w="0" w:type="auto"/>
            <w:shd w:val="clear" w:color="auto" w:fill="auto"/>
            <w:hideMark/>
          </w:tcPr>
          <w:p w14:paraId="72E15A7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4A594BE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and, during transmission, also the data exporter shall implement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the security of the data, including protection against a breach of security leading to accidental or unlawful destruction, loss, alteration, </w:t>
            </w:r>
            <w:proofErr w:type="spellStart"/>
            <w:r w:rsidRPr="00522EED">
              <w:rPr>
                <w:rFonts w:ascii="Arial" w:eastAsia="Times New Roman" w:hAnsi="Arial" w:cs="Arial"/>
                <w:sz w:val="20"/>
                <w:szCs w:val="20"/>
              </w:rPr>
              <w:t>unauthorised</w:t>
            </w:r>
            <w:proofErr w:type="spellEnd"/>
            <w:r w:rsidRPr="00522EED">
              <w:rPr>
                <w:rFonts w:ascii="Arial" w:eastAsia="Times New Roman" w:hAnsi="Arial" w:cs="Arial"/>
                <w:sz w:val="20"/>
                <w:szCs w:val="20"/>
              </w:rPr>
              <w:t xml:space="preserve"> </w:t>
            </w:r>
            <w:proofErr w:type="gramStart"/>
            <w:r w:rsidRPr="00522EED">
              <w:rPr>
                <w:rFonts w:ascii="Arial" w:eastAsia="Times New Roman" w:hAnsi="Arial" w:cs="Arial"/>
                <w:sz w:val="20"/>
                <w:szCs w:val="20"/>
              </w:rPr>
              <w:t>disclosure</w:t>
            </w:r>
            <w:proofErr w:type="gramEnd"/>
            <w:r w:rsidRPr="00522EED">
              <w:rPr>
                <w:rFonts w:ascii="Arial" w:eastAsia="Times New Roman" w:hAnsi="Arial" w:cs="Arial"/>
                <w:sz w:val="20"/>
                <w:szCs w:val="20"/>
              </w:rPr>
              <w:t xml:space="preserve"> or access to that data (hereinafter ‘</w:t>
            </w:r>
            <w:r w:rsidRPr="00194540">
              <w:rPr>
                <w:rFonts w:ascii="Arial" w:eastAsia="Times New Roman" w:hAnsi="Arial" w:cs="Arial"/>
                <w:b/>
                <w:sz w:val="20"/>
                <w:szCs w:val="20"/>
              </w:rPr>
              <w:t>personal data breach</w:t>
            </w:r>
            <w:r w:rsidRPr="00522EED">
              <w:rPr>
                <w:rFonts w:ascii="Arial" w:eastAsia="Times New Roman" w:hAnsi="Arial" w:cs="Arial"/>
                <w:sz w:val="20"/>
                <w:szCs w:val="20"/>
              </w:rPr>
              <w:t xml:space="preserve">’). In assessing the appropriate level of security, the Parties shall take due account of the state of the art, the costs of implementation, the nature, scope, context and purpose(s) of processing and the risks involved in the processing for the data subjects. The Parties shall </w:t>
            </w:r>
            <w:proofErr w:type="gramStart"/>
            <w:r w:rsidRPr="00522EED">
              <w:rPr>
                <w:rFonts w:ascii="Arial" w:eastAsia="Times New Roman" w:hAnsi="Arial" w:cs="Arial"/>
                <w:sz w:val="20"/>
                <w:szCs w:val="20"/>
              </w:rPr>
              <w:t>in particular consider</w:t>
            </w:r>
            <w:proofErr w:type="gramEnd"/>
            <w:r w:rsidRPr="00522EED">
              <w:rPr>
                <w:rFonts w:ascii="Arial" w:eastAsia="Times New Roman" w:hAnsi="Arial" w:cs="Arial"/>
                <w:sz w:val="20"/>
                <w:szCs w:val="20"/>
              </w:rPr>
              <w:t xml:space="preserve"> having recourse to encryption or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including during transmission, where the purpose of processing can be fulfilled in that manner. In case of </w:t>
            </w:r>
            <w:proofErr w:type="spellStart"/>
            <w:r w:rsidRPr="00522EED">
              <w:rPr>
                <w:rFonts w:ascii="Arial" w:eastAsia="Times New Roman" w:hAnsi="Arial" w:cs="Arial"/>
                <w:sz w:val="20"/>
                <w:szCs w:val="20"/>
              </w:rPr>
              <w:t>pseudonymisation</w:t>
            </w:r>
            <w:proofErr w:type="spellEnd"/>
            <w:r w:rsidRPr="00522EED">
              <w:rPr>
                <w:rFonts w:ascii="Arial" w:eastAsia="Times New Roman" w:hAnsi="Arial" w:cs="Arial"/>
                <w:sz w:val="20"/>
                <w:szCs w:val="20"/>
              </w:rPr>
              <w:t xml:space="preserve">, the additional information for attributing the personal data to a specific data subject shall, where possible, remain under the exclusive control of the data exporter. In complying with its obligations under this paragraph, the data importer shall at least implement the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specified in Annex II. The data importer shall carry out regular checks to ensure that these measures continue to provide an appropriate level of security.</w:t>
            </w:r>
          </w:p>
        </w:tc>
      </w:tr>
    </w:tbl>
    <w:p w14:paraId="3D58433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F3AF6F8" w14:textId="77777777" w:rsidTr="00AB24F5">
        <w:tc>
          <w:tcPr>
            <w:tcW w:w="0" w:type="auto"/>
            <w:shd w:val="clear" w:color="auto" w:fill="auto"/>
            <w:hideMark/>
          </w:tcPr>
          <w:p w14:paraId="7E17764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6522B30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grant access to the personal data to members of its personnel only to the extent strictly necessary for the implementation, management and monitoring of the contract. It shall ensure that persons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process the personal data have committed themselves to confidentiality or are under an appropriate statutory obligation of confidentiality.</w:t>
            </w:r>
          </w:p>
        </w:tc>
      </w:tr>
    </w:tbl>
    <w:p w14:paraId="142189B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6F2B0CB7" w14:textId="77777777" w:rsidTr="00AB24F5">
        <w:tc>
          <w:tcPr>
            <w:tcW w:w="0" w:type="auto"/>
            <w:shd w:val="clear" w:color="auto" w:fill="auto"/>
            <w:hideMark/>
          </w:tcPr>
          <w:p w14:paraId="65AD3AF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41BC483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 event of a personal data breach concerning personal data processed by the data importer under these Clauses, the data importer shall take appropriate measures to address the breach, including measures to mitigate its adverse effects. The data importer shall also notify the data exporter without undue delay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breach including, where appropriate,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w:t>
            </w:r>
          </w:p>
        </w:tc>
      </w:tr>
    </w:tbl>
    <w:p w14:paraId="6193C52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41325A4" w14:textId="77777777" w:rsidTr="00AB24F5">
        <w:tc>
          <w:tcPr>
            <w:tcW w:w="0" w:type="auto"/>
            <w:shd w:val="clear" w:color="auto" w:fill="auto"/>
            <w:hideMark/>
          </w:tcPr>
          <w:p w14:paraId="7CFF995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74A9E0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cooperate with and assist the data exporter to enable the data exporter to comply with its obligations under Regulation (EU) 2016/679, </w:t>
            </w:r>
            <w:proofErr w:type="gramStart"/>
            <w:r w:rsidRPr="00522EED">
              <w:rPr>
                <w:rFonts w:ascii="Arial" w:eastAsia="Times New Roman" w:hAnsi="Arial" w:cs="Arial"/>
                <w:sz w:val="20"/>
                <w:szCs w:val="20"/>
              </w:rPr>
              <w:t>in particular to</w:t>
            </w:r>
            <w:proofErr w:type="gramEnd"/>
            <w:r w:rsidRPr="00522EED">
              <w:rPr>
                <w:rFonts w:ascii="Arial" w:eastAsia="Times New Roman" w:hAnsi="Arial" w:cs="Arial"/>
                <w:sz w:val="20"/>
                <w:szCs w:val="20"/>
              </w:rPr>
              <w:t xml:space="preserve"> notify the competent supervisory authority and the affected data subjects, taking into account the nature of processing and the information available to the data importer.</w:t>
            </w:r>
          </w:p>
        </w:tc>
      </w:tr>
    </w:tbl>
    <w:p w14:paraId="5D97C40A"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8.7   Sensitive data</w:t>
      </w:r>
    </w:p>
    <w:p w14:paraId="2248AE1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w:t>
      </w:r>
      <w:r w:rsidRPr="00194540">
        <w:rPr>
          <w:rFonts w:ascii="Arial" w:eastAsia="Times New Roman" w:hAnsi="Arial" w:cs="Arial"/>
          <w:b/>
          <w:sz w:val="20"/>
          <w:szCs w:val="20"/>
        </w:rPr>
        <w:t>sensitive data</w:t>
      </w:r>
      <w:r w:rsidRPr="00522EED">
        <w:rPr>
          <w:rFonts w:ascii="Arial" w:eastAsia="Times New Roman" w:hAnsi="Arial" w:cs="Arial"/>
          <w:sz w:val="20"/>
          <w:szCs w:val="20"/>
        </w:rPr>
        <w:t>’), the data importer shall apply the specific restrictions and/or additional safeguards described in Annex I.B.</w:t>
      </w:r>
    </w:p>
    <w:p w14:paraId="594A945F"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8.8   Onward transfers</w:t>
      </w:r>
    </w:p>
    <w:p w14:paraId="1D2AE45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only disclose the personal data to a third party on documented instructions from the data exporter. In addition, the data may only be disclosed to a third party located outside the </w:t>
      </w:r>
      <w:r w:rsidRPr="00522EED">
        <w:rPr>
          <w:rFonts w:ascii="Arial" w:eastAsia="Times New Roman" w:hAnsi="Arial" w:cs="Arial"/>
          <w:sz w:val="20"/>
          <w:szCs w:val="20"/>
        </w:rPr>
        <w:lastRenderedPageBreak/>
        <w:t>European Union</w:t>
      </w:r>
      <w:r w:rsidR="00DE7357" w:rsidRPr="00522EED">
        <w:rPr>
          <w:rStyle w:val="FootnoteReference"/>
          <w:rFonts w:ascii="Arial" w:eastAsia="Times New Roman" w:hAnsi="Arial" w:cs="Arial"/>
          <w:sz w:val="20"/>
          <w:szCs w:val="20"/>
        </w:rPr>
        <w:footnoteReference w:id="3"/>
      </w:r>
      <w:r w:rsidRPr="00522EED">
        <w:rPr>
          <w:rFonts w:ascii="Arial" w:eastAsia="Times New Roman" w:hAnsi="Arial" w:cs="Arial"/>
          <w:sz w:val="20"/>
          <w:szCs w:val="20"/>
        </w:rPr>
        <w:t> (in the same country as the data importer or in another third country, hereinafter ‘</w:t>
      </w:r>
      <w:r w:rsidRPr="00194540">
        <w:rPr>
          <w:rFonts w:ascii="Arial" w:eastAsia="Times New Roman" w:hAnsi="Arial" w:cs="Arial"/>
          <w:b/>
          <w:sz w:val="20"/>
          <w:szCs w:val="20"/>
        </w:rPr>
        <w:t>onward transfer</w:t>
      </w:r>
      <w:r w:rsidRPr="00522EED">
        <w:rPr>
          <w:rFonts w:ascii="Arial" w:eastAsia="Times New Roman" w:hAnsi="Arial" w:cs="Arial"/>
          <w:sz w:val="20"/>
          <w:szCs w:val="20"/>
        </w:rPr>
        <w:t>’) if the third party is or agrees to be bound by these Clauses, under the appropriate Module, or if:</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96D7A53" w14:textId="77777777" w:rsidTr="00AB24F5">
        <w:tc>
          <w:tcPr>
            <w:tcW w:w="0" w:type="auto"/>
            <w:shd w:val="clear" w:color="auto" w:fill="auto"/>
            <w:hideMark/>
          </w:tcPr>
          <w:p w14:paraId="1185CF2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556972F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onward transfer is to a country benefitting from an adequacy decision pursuant to Article 45 of Regulation (EU) 2016/679 that covers the onward transfer;</w:t>
            </w:r>
          </w:p>
        </w:tc>
      </w:tr>
    </w:tbl>
    <w:p w14:paraId="07FAAC4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803"/>
      </w:tblGrid>
      <w:tr w:rsidR="00522EED" w:rsidRPr="00522EED" w14:paraId="0DFAB391" w14:textId="77777777" w:rsidTr="00AB24F5">
        <w:tc>
          <w:tcPr>
            <w:tcW w:w="0" w:type="auto"/>
            <w:shd w:val="clear" w:color="auto" w:fill="auto"/>
            <w:hideMark/>
          </w:tcPr>
          <w:p w14:paraId="36AEF4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70F54F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third party otherwise ensures appropriate safeguards pursuant to Articles 46 or 47 Regulation of (EU) 2016/679 with respect to the processing in question;</w:t>
            </w:r>
          </w:p>
        </w:tc>
      </w:tr>
    </w:tbl>
    <w:p w14:paraId="65C76A3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759"/>
      </w:tblGrid>
      <w:tr w:rsidR="00522EED" w:rsidRPr="00522EED" w14:paraId="28383FC2" w14:textId="77777777" w:rsidTr="00AB24F5">
        <w:tc>
          <w:tcPr>
            <w:tcW w:w="0" w:type="auto"/>
            <w:shd w:val="clear" w:color="auto" w:fill="auto"/>
            <w:hideMark/>
          </w:tcPr>
          <w:p w14:paraId="2E427DB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shd w:val="clear" w:color="auto" w:fill="auto"/>
            <w:hideMark/>
          </w:tcPr>
          <w:p w14:paraId="47DDEF7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onward transfer is necessary for the establishment, exercise or </w:t>
            </w:r>
            <w:proofErr w:type="spellStart"/>
            <w:r w:rsidRPr="00522EED">
              <w:rPr>
                <w:rFonts w:ascii="Arial" w:eastAsia="Times New Roman" w:hAnsi="Arial" w:cs="Arial"/>
                <w:sz w:val="20"/>
                <w:szCs w:val="20"/>
              </w:rPr>
              <w:t>defence</w:t>
            </w:r>
            <w:proofErr w:type="spellEnd"/>
            <w:r w:rsidRPr="00522EED">
              <w:rPr>
                <w:rFonts w:ascii="Arial" w:eastAsia="Times New Roman" w:hAnsi="Arial" w:cs="Arial"/>
                <w:sz w:val="20"/>
                <w:szCs w:val="20"/>
              </w:rPr>
              <w:t xml:space="preserve"> of legal claims in the context of specific administrative, </w:t>
            </w:r>
            <w:proofErr w:type="gramStart"/>
            <w:r w:rsidRPr="00522EED">
              <w:rPr>
                <w:rFonts w:ascii="Arial" w:eastAsia="Times New Roman" w:hAnsi="Arial" w:cs="Arial"/>
                <w:sz w:val="20"/>
                <w:szCs w:val="20"/>
              </w:rPr>
              <w:t>regulatory</w:t>
            </w:r>
            <w:proofErr w:type="gramEnd"/>
            <w:r w:rsidRPr="00522EED">
              <w:rPr>
                <w:rFonts w:ascii="Arial" w:eastAsia="Times New Roman" w:hAnsi="Arial" w:cs="Arial"/>
                <w:sz w:val="20"/>
                <w:szCs w:val="20"/>
              </w:rPr>
              <w:t xml:space="preserve"> or judicial proceedings; or</w:t>
            </w:r>
          </w:p>
        </w:tc>
      </w:tr>
    </w:tbl>
    <w:p w14:paraId="10F2D0A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8"/>
        <w:gridCol w:w="8748"/>
      </w:tblGrid>
      <w:tr w:rsidR="00522EED" w:rsidRPr="00522EED" w14:paraId="440333D5" w14:textId="77777777" w:rsidTr="00AB24F5">
        <w:tc>
          <w:tcPr>
            <w:tcW w:w="0" w:type="auto"/>
            <w:shd w:val="clear" w:color="auto" w:fill="auto"/>
            <w:hideMark/>
          </w:tcPr>
          <w:p w14:paraId="4E3BE5C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(iv)</w:t>
            </w:r>
          </w:p>
        </w:tc>
        <w:tc>
          <w:tcPr>
            <w:tcW w:w="0" w:type="auto"/>
            <w:shd w:val="clear" w:color="auto" w:fill="auto"/>
            <w:hideMark/>
          </w:tcPr>
          <w:p w14:paraId="6AEA928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onward transfer is necessary </w:t>
            </w:r>
            <w:proofErr w:type="gramStart"/>
            <w:r w:rsidRPr="00522EED">
              <w:rPr>
                <w:rFonts w:ascii="Arial" w:eastAsia="Times New Roman" w:hAnsi="Arial" w:cs="Arial"/>
                <w:sz w:val="20"/>
                <w:szCs w:val="20"/>
              </w:rPr>
              <w:t>in order to</w:t>
            </w:r>
            <w:proofErr w:type="gramEnd"/>
            <w:r w:rsidRPr="00522EED">
              <w:rPr>
                <w:rFonts w:ascii="Arial" w:eastAsia="Times New Roman" w:hAnsi="Arial" w:cs="Arial"/>
                <w:sz w:val="20"/>
                <w:szCs w:val="20"/>
              </w:rPr>
              <w:t xml:space="preserve"> protect the vital interests of the data subject or of another natural person.</w:t>
            </w:r>
          </w:p>
        </w:tc>
      </w:tr>
    </w:tbl>
    <w:p w14:paraId="49E84B9E"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onward transfer is subject to compliance by the data importer with all the other safeguards under these Clauses, in particular purpose limitation.</w:t>
      </w:r>
    </w:p>
    <w:p w14:paraId="6FA9D30C"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8.9   Documentation and compliance</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BA13556" w14:textId="77777777" w:rsidTr="00AB24F5">
        <w:tc>
          <w:tcPr>
            <w:tcW w:w="0" w:type="auto"/>
            <w:shd w:val="clear" w:color="auto" w:fill="auto"/>
            <w:hideMark/>
          </w:tcPr>
          <w:p w14:paraId="61126DB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1B07F7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and adequately deal with enquiries from the data exporter that relate to the processing under these Clauses.</w:t>
            </w:r>
          </w:p>
        </w:tc>
      </w:tr>
    </w:tbl>
    <w:p w14:paraId="1287F77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669082B" w14:textId="77777777" w:rsidTr="00AB24F5">
        <w:tc>
          <w:tcPr>
            <w:tcW w:w="0" w:type="auto"/>
            <w:shd w:val="clear" w:color="auto" w:fill="auto"/>
            <w:hideMark/>
          </w:tcPr>
          <w:p w14:paraId="052E48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5BA725F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be able to demonstrate compliance with these Clauses. In particular, the data importer shall keep appropriate documentation on the processing activities carried out on behalf of the data exporter.</w:t>
            </w:r>
          </w:p>
        </w:tc>
      </w:tr>
    </w:tbl>
    <w:p w14:paraId="766B285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0A2CEA2" w14:textId="77777777" w:rsidTr="00AB24F5">
        <w:tc>
          <w:tcPr>
            <w:tcW w:w="0" w:type="auto"/>
            <w:shd w:val="clear" w:color="auto" w:fill="auto"/>
            <w:hideMark/>
          </w:tcPr>
          <w:p w14:paraId="07F89A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6752DAD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make available to the data exporter all information necessary to demonstrate compliance with the obligations set out in these Clauses and at the data exporter’s request, allow for and contribute to audits of the processing activities covered by these Clauses, at reasonable intervals or if there are indications of non-compliance. In deciding on a review or audit, the data exporter may </w:t>
            </w:r>
            <w:proofErr w:type="gramStart"/>
            <w:r w:rsidRPr="00522EED">
              <w:rPr>
                <w:rFonts w:ascii="Arial" w:eastAsia="Times New Roman" w:hAnsi="Arial" w:cs="Arial"/>
                <w:sz w:val="20"/>
                <w:szCs w:val="20"/>
              </w:rPr>
              <w:t>take into account</w:t>
            </w:r>
            <w:proofErr w:type="gramEnd"/>
            <w:r w:rsidRPr="00522EED">
              <w:rPr>
                <w:rFonts w:ascii="Arial" w:eastAsia="Times New Roman" w:hAnsi="Arial" w:cs="Arial"/>
                <w:sz w:val="20"/>
                <w:szCs w:val="20"/>
              </w:rPr>
              <w:t xml:space="preserve"> relevant certifications held by the data importer.</w:t>
            </w:r>
          </w:p>
        </w:tc>
      </w:tr>
    </w:tbl>
    <w:p w14:paraId="30DE1D3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09FC72B" w14:textId="77777777" w:rsidTr="00AB24F5">
        <w:tc>
          <w:tcPr>
            <w:tcW w:w="0" w:type="auto"/>
            <w:shd w:val="clear" w:color="auto" w:fill="auto"/>
            <w:hideMark/>
          </w:tcPr>
          <w:p w14:paraId="541333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7FAE668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may choose to conduct the audit by itself or mandate an independent auditor. Audits may include inspections at the premises or physical facilities of the data importer and shall, where appropriate, be carried out with reasonable notice.</w:t>
            </w:r>
          </w:p>
        </w:tc>
      </w:tr>
    </w:tbl>
    <w:p w14:paraId="6CA8A8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0A60B80" w14:textId="77777777" w:rsidTr="00AB24F5">
        <w:tc>
          <w:tcPr>
            <w:tcW w:w="0" w:type="auto"/>
            <w:shd w:val="clear" w:color="auto" w:fill="auto"/>
            <w:hideMark/>
          </w:tcPr>
          <w:p w14:paraId="1D47600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563B6B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shall make the information referred to in paragraphs (b) and (c), including the results of any audits, available to the competent supervisory authority on request.</w:t>
            </w:r>
          </w:p>
        </w:tc>
      </w:tr>
    </w:tbl>
    <w:p w14:paraId="3D13FDE6"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9</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Use of sub-processors</w:t>
      </w:r>
    </w:p>
    <w:p w14:paraId="4300369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16" w:type="pct"/>
        <w:tblCellMar>
          <w:left w:w="0" w:type="dxa"/>
          <w:right w:w="0" w:type="dxa"/>
        </w:tblCellMar>
        <w:tblLook w:val="04A0" w:firstRow="1" w:lastRow="0" w:firstColumn="1" w:lastColumn="0" w:noHBand="0" w:noVBand="1"/>
      </w:tblPr>
      <w:tblGrid>
        <w:gridCol w:w="245"/>
        <w:gridCol w:w="8810"/>
      </w:tblGrid>
      <w:tr w:rsidR="00522EED" w:rsidRPr="00522EED" w14:paraId="101D7615" w14:textId="77777777" w:rsidTr="009035A4">
        <w:trPr>
          <w:trHeight w:val="1767"/>
        </w:trPr>
        <w:tc>
          <w:tcPr>
            <w:tcW w:w="0" w:type="auto"/>
            <w:shd w:val="clear" w:color="auto" w:fill="auto"/>
            <w:hideMark/>
          </w:tcPr>
          <w:p w14:paraId="7A3A6C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shd w:val="clear" w:color="auto" w:fill="auto"/>
            <w:hideMark/>
          </w:tcPr>
          <w:p w14:paraId="2E72DEC1" w14:textId="29B31BED" w:rsidR="00AB24F5" w:rsidRPr="00522EED" w:rsidRDefault="00F77884" w:rsidP="00522EED">
            <w:pPr>
              <w:spacing w:before="120"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00AB24F5" w:rsidRPr="00F77884">
              <w:rPr>
                <w:rFonts w:ascii="Arial" w:eastAsia="Times New Roman" w:hAnsi="Arial" w:cs="Arial"/>
                <w:sz w:val="20"/>
                <w:szCs w:val="20"/>
                <w:highlight w:val="lightGray"/>
              </w:rPr>
              <w:t>SPECIFIC PRIOR AUTHORISATION</w:t>
            </w:r>
            <w:r w:rsidR="00AB24F5" w:rsidRPr="00522EED">
              <w:rPr>
                <w:rFonts w:ascii="Arial" w:eastAsia="Times New Roman" w:hAnsi="Arial" w:cs="Arial"/>
                <w:sz w:val="20"/>
                <w:szCs w:val="20"/>
              </w:rPr>
              <w:t xml:space="preserve"> The data importer shall not sub-contract any of its processing activities performed on behalf of the data exporter under these Clauses to a sub-processor without the data exporter’s prior specific written </w:t>
            </w:r>
            <w:proofErr w:type="spellStart"/>
            <w:r w:rsidR="00AB24F5" w:rsidRPr="00522EED">
              <w:rPr>
                <w:rFonts w:ascii="Arial" w:eastAsia="Times New Roman" w:hAnsi="Arial" w:cs="Arial"/>
                <w:sz w:val="20"/>
                <w:szCs w:val="20"/>
              </w:rPr>
              <w:t>authorisation</w:t>
            </w:r>
            <w:proofErr w:type="spellEnd"/>
            <w:r w:rsidR="00AB24F5" w:rsidRPr="00522EED">
              <w:rPr>
                <w:rFonts w:ascii="Arial" w:eastAsia="Times New Roman" w:hAnsi="Arial" w:cs="Arial"/>
                <w:sz w:val="20"/>
                <w:szCs w:val="20"/>
              </w:rPr>
              <w:t xml:space="preserve">. The data importer shall submit the request for specific </w:t>
            </w:r>
            <w:proofErr w:type="spellStart"/>
            <w:r w:rsidR="00AB24F5" w:rsidRPr="00522EED">
              <w:rPr>
                <w:rFonts w:ascii="Arial" w:eastAsia="Times New Roman" w:hAnsi="Arial" w:cs="Arial"/>
                <w:sz w:val="20"/>
                <w:szCs w:val="20"/>
              </w:rPr>
              <w:t>authorisation</w:t>
            </w:r>
            <w:proofErr w:type="spellEnd"/>
            <w:r w:rsidR="00AB24F5" w:rsidRPr="00522EED">
              <w:rPr>
                <w:rFonts w:ascii="Arial" w:eastAsia="Times New Roman" w:hAnsi="Arial" w:cs="Arial"/>
                <w:sz w:val="20"/>
                <w:szCs w:val="20"/>
              </w:rPr>
              <w:t xml:space="preserve"> at least [</w:t>
            </w:r>
            <w:r w:rsidR="00AB24F5" w:rsidRPr="00AF51D9">
              <w:rPr>
                <w:rFonts w:ascii="Arial" w:eastAsia="Times New Roman" w:hAnsi="Arial" w:cs="Arial"/>
                <w:i/>
                <w:iCs/>
                <w:sz w:val="20"/>
                <w:szCs w:val="20"/>
                <w:highlight w:val="cyan"/>
              </w:rPr>
              <w:t xml:space="preserve">Specify </w:t>
            </w:r>
            <w:proofErr w:type="gramStart"/>
            <w:r w:rsidR="00AB24F5" w:rsidRPr="00AF51D9">
              <w:rPr>
                <w:rFonts w:ascii="Arial" w:eastAsia="Times New Roman" w:hAnsi="Arial" w:cs="Arial"/>
                <w:i/>
                <w:iCs/>
                <w:sz w:val="20"/>
                <w:szCs w:val="20"/>
                <w:highlight w:val="cyan"/>
              </w:rPr>
              <w:t>time period</w:t>
            </w:r>
            <w:proofErr w:type="gramEnd"/>
            <w:r w:rsidR="00AB24F5" w:rsidRPr="00522EED">
              <w:rPr>
                <w:rFonts w:ascii="Arial" w:eastAsia="Times New Roman" w:hAnsi="Arial" w:cs="Arial"/>
                <w:sz w:val="20"/>
                <w:szCs w:val="20"/>
              </w:rPr>
              <w:t xml:space="preserve">] prior to the engagement of the sub-processor, together with the information necessary to enable the data exporter to decide on the </w:t>
            </w:r>
            <w:proofErr w:type="spellStart"/>
            <w:r w:rsidR="00AB24F5" w:rsidRPr="00522EED">
              <w:rPr>
                <w:rFonts w:ascii="Arial" w:eastAsia="Times New Roman" w:hAnsi="Arial" w:cs="Arial"/>
                <w:sz w:val="20"/>
                <w:szCs w:val="20"/>
              </w:rPr>
              <w:t>authorisation</w:t>
            </w:r>
            <w:proofErr w:type="spellEnd"/>
            <w:r w:rsidR="00AB24F5" w:rsidRPr="00522EED">
              <w:rPr>
                <w:rFonts w:ascii="Arial" w:eastAsia="Times New Roman" w:hAnsi="Arial" w:cs="Arial"/>
                <w:sz w:val="20"/>
                <w:szCs w:val="20"/>
              </w:rPr>
              <w:t xml:space="preserve">. The list of sub-processors already </w:t>
            </w:r>
            <w:proofErr w:type="spellStart"/>
            <w:r w:rsidR="00AB24F5" w:rsidRPr="00522EED">
              <w:rPr>
                <w:rFonts w:ascii="Arial" w:eastAsia="Times New Roman" w:hAnsi="Arial" w:cs="Arial"/>
                <w:sz w:val="20"/>
                <w:szCs w:val="20"/>
              </w:rPr>
              <w:t>authorised</w:t>
            </w:r>
            <w:proofErr w:type="spellEnd"/>
            <w:r w:rsidR="00AB24F5" w:rsidRPr="00522EED">
              <w:rPr>
                <w:rFonts w:ascii="Arial" w:eastAsia="Times New Roman" w:hAnsi="Arial" w:cs="Arial"/>
                <w:sz w:val="20"/>
                <w:szCs w:val="20"/>
              </w:rPr>
              <w:t xml:space="preserve"> by the data exporter can be found in Annex III. The Parties shall keep Annex III up to date.</w:t>
            </w:r>
          </w:p>
          <w:p w14:paraId="07D84D63" w14:textId="67846C7D" w:rsidR="00AB24F5" w:rsidRPr="00522EED" w:rsidRDefault="00AB24F5" w:rsidP="00522EED">
            <w:pPr>
              <w:spacing w:before="120" w:after="0" w:line="240" w:lineRule="auto"/>
              <w:jc w:val="both"/>
              <w:rPr>
                <w:rFonts w:ascii="Arial" w:eastAsia="Times New Roman" w:hAnsi="Arial" w:cs="Arial"/>
                <w:sz w:val="20"/>
                <w:szCs w:val="20"/>
              </w:rPr>
            </w:pPr>
          </w:p>
        </w:tc>
      </w:tr>
    </w:tbl>
    <w:p w14:paraId="5547B0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0DC7412" w14:textId="77777777" w:rsidTr="00AB24F5">
        <w:tc>
          <w:tcPr>
            <w:tcW w:w="0" w:type="auto"/>
            <w:shd w:val="clear" w:color="auto" w:fill="auto"/>
            <w:hideMark/>
          </w:tcPr>
          <w:p w14:paraId="3A3A24A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639C5E5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importer engages a sub-processor to carry out specific processing activities (on behalf of the data exporter), it shall do so by way of a written contract that provides for, in substance, the same data protection obligations as those binding the data importer under these Clauses, including in terms of third-party beneficiary rights for data subjects.</w:t>
            </w:r>
            <w:r w:rsidR="00DE7357" w:rsidRPr="00522EED">
              <w:rPr>
                <w:rStyle w:val="FootnoteReference"/>
                <w:rFonts w:ascii="Arial" w:eastAsia="Times New Roman" w:hAnsi="Arial" w:cs="Arial"/>
                <w:sz w:val="20"/>
                <w:szCs w:val="20"/>
              </w:rPr>
              <w:footnoteReference w:id="4"/>
            </w:r>
            <w:r w:rsidRPr="00522EED">
              <w:rPr>
                <w:rFonts w:ascii="Arial" w:eastAsia="Times New Roman" w:hAnsi="Arial" w:cs="Arial"/>
                <w:sz w:val="20"/>
                <w:szCs w:val="20"/>
              </w:rPr>
              <w:t> The Parties agree that, by complying with this Clause, the data importer fulfils its obligations under Clause 8.8. The data importer shall ensure that the sub-processor complies with the obligations to which the data importer is subject pursuant to these Clauses.</w:t>
            </w:r>
          </w:p>
        </w:tc>
      </w:tr>
    </w:tbl>
    <w:p w14:paraId="245D940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CCB44FF" w14:textId="77777777" w:rsidTr="00AB24F5">
        <w:tc>
          <w:tcPr>
            <w:tcW w:w="0" w:type="auto"/>
            <w:shd w:val="clear" w:color="auto" w:fill="auto"/>
            <w:hideMark/>
          </w:tcPr>
          <w:p w14:paraId="3505BBC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380256D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provide, at the data exporter’s request, a copy of such a sub-processor agreement and any subsequent amendments to the data exporter. To the extent necessary to protect business secrets or other confidential information, including personal data, the data importer may redact the text of the agreement prior to sharing a copy.</w:t>
            </w:r>
          </w:p>
        </w:tc>
      </w:tr>
    </w:tbl>
    <w:p w14:paraId="2D22D19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B133577" w14:textId="77777777" w:rsidTr="00AB24F5">
        <w:tc>
          <w:tcPr>
            <w:tcW w:w="0" w:type="auto"/>
            <w:shd w:val="clear" w:color="auto" w:fill="auto"/>
            <w:hideMark/>
          </w:tcPr>
          <w:p w14:paraId="2BCF575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4C57458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w:t>
            </w:r>
          </w:p>
        </w:tc>
      </w:tr>
    </w:tbl>
    <w:p w14:paraId="3AF705E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F2326F5" w14:textId="77777777" w:rsidTr="00AB24F5">
        <w:tc>
          <w:tcPr>
            <w:tcW w:w="0" w:type="auto"/>
            <w:shd w:val="clear" w:color="auto" w:fill="auto"/>
            <w:hideMark/>
          </w:tcPr>
          <w:p w14:paraId="31A92E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426CB33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tc>
      </w:tr>
    </w:tbl>
    <w:p w14:paraId="629A5BC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10</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Data subject rights</w:t>
      </w:r>
    </w:p>
    <w:p w14:paraId="56BF7B7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3C226EA" w14:textId="77777777" w:rsidTr="00AB24F5">
        <w:tc>
          <w:tcPr>
            <w:tcW w:w="0" w:type="auto"/>
            <w:shd w:val="clear" w:color="auto" w:fill="auto"/>
            <w:hideMark/>
          </w:tcPr>
          <w:p w14:paraId="0AEF86F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2218FD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promptly notify the data exporter of any request it has received from a data subject. It shall not respond to that request itself unless it has been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do so by the data exporter.</w:t>
            </w:r>
          </w:p>
        </w:tc>
      </w:tr>
    </w:tbl>
    <w:p w14:paraId="3A5BABC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B5DDC8E" w14:textId="77777777" w:rsidTr="00AB24F5">
        <w:tc>
          <w:tcPr>
            <w:tcW w:w="0" w:type="auto"/>
            <w:shd w:val="clear" w:color="auto" w:fill="auto"/>
            <w:hideMark/>
          </w:tcPr>
          <w:p w14:paraId="69DB05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125BE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assist the data exporter in fulfilling its obligations to respond to data subjects’ requests for the exercise of their rights under Regulation (EU) 2016/679. In this regard, the Parties shall set out in Annex II the appropriate technical and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w:t>
            </w:r>
            <w:proofErr w:type="gramStart"/>
            <w:r w:rsidRPr="00522EED">
              <w:rPr>
                <w:rFonts w:ascii="Arial" w:eastAsia="Times New Roman" w:hAnsi="Arial" w:cs="Arial"/>
                <w:sz w:val="20"/>
                <w:szCs w:val="20"/>
              </w:rPr>
              <w:t>taking into account</w:t>
            </w:r>
            <w:proofErr w:type="gramEnd"/>
            <w:r w:rsidRPr="00522EED">
              <w:rPr>
                <w:rFonts w:ascii="Arial" w:eastAsia="Times New Roman" w:hAnsi="Arial" w:cs="Arial"/>
                <w:sz w:val="20"/>
                <w:szCs w:val="20"/>
              </w:rPr>
              <w:t xml:space="preserve"> the nature of the processing, by which the assistance shall be provided, as well as the scope and the extent of the assistance required.</w:t>
            </w:r>
          </w:p>
        </w:tc>
      </w:tr>
    </w:tbl>
    <w:p w14:paraId="0AE324A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08A02F7B" w14:textId="77777777" w:rsidTr="00AB24F5">
        <w:tc>
          <w:tcPr>
            <w:tcW w:w="0" w:type="auto"/>
            <w:shd w:val="clear" w:color="auto" w:fill="auto"/>
            <w:hideMark/>
          </w:tcPr>
          <w:p w14:paraId="4701F84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319DAA6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fulfilling its obligations under paragraphs (a) and (b), the data importer shall comply with the instructions from the data exporter.</w:t>
            </w:r>
          </w:p>
        </w:tc>
      </w:tr>
    </w:tbl>
    <w:p w14:paraId="044A3C4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lastRenderedPageBreak/>
        <w:t>Clause 11</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Redress</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B4510AA" w14:textId="77777777" w:rsidTr="00AB24F5">
        <w:tc>
          <w:tcPr>
            <w:tcW w:w="0" w:type="auto"/>
            <w:shd w:val="clear" w:color="auto" w:fill="auto"/>
            <w:hideMark/>
          </w:tcPr>
          <w:p w14:paraId="2EF74B4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600FDA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shall inform data subjects in a transparent and easily accessible format, through individual notice or on its website, of a contact point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to handle complaints. It shall deal promptly with any complaints i</w:t>
            </w:r>
            <w:r w:rsidR="00F664F9" w:rsidRPr="00522EED">
              <w:rPr>
                <w:rFonts w:ascii="Arial" w:eastAsia="Times New Roman" w:hAnsi="Arial" w:cs="Arial"/>
                <w:sz w:val="20"/>
                <w:szCs w:val="20"/>
              </w:rPr>
              <w:t>t receives from a data subject.</w:t>
            </w:r>
          </w:p>
        </w:tc>
      </w:tr>
    </w:tbl>
    <w:p w14:paraId="039D203B"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ABF5C77" w14:textId="77777777" w:rsidTr="00AB24F5">
        <w:tc>
          <w:tcPr>
            <w:tcW w:w="0" w:type="auto"/>
            <w:shd w:val="clear" w:color="auto" w:fill="auto"/>
            <w:hideMark/>
          </w:tcPr>
          <w:p w14:paraId="3DEA1C1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5943D7E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case of a dispute between a data subject and one of the Parties as regards compliance with these Clauses, that Party shall use its best efforts to resolve the issue amicably in a timely fashion. The Parties shall keep each other informed about such disputes and, where appropriate, cooperate in resolving them.</w:t>
            </w:r>
          </w:p>
        </w:tc>
      </w:tr>
    </w:tbl>
    <w:p w14:paraId="3A4B120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3280F07D" w14:textId="77777777" w:rsidTr="00AB24F5">
        <w:tc>
          <w:tcPr>
            <w:tcW w:w="0" w:type="auto"/>
            <w:shd w:val="clear" w:color="auto" w:fill="auto"/>
            <w:hideMark/>
          </w:tcPr>
          <w:p w14:paraId="6CFE82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7AEF0B3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the data subject invokes a third-party beneficiary right pursuant to Clause 3, the data importer shall accept the decision of the data subject to:</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3CAE7CDC" w14:textId="77777777">
              <w:tc>
                <w:tcPr>
                  <w:tcW w:w="0" w:type="auto"/>
                  <w:shd w:val="clear" w:color="auto" w:fill="auto"/>
                  <w:hideMark/>
                </w:tcPr>
                <w:p w14:paraId="3F8EEA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68C3D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lodge a complaint with the supervisory authority in the Member State of his/her habitual residence or place of work, or the competent supervisory authority pursuant to Clause 13;</w:t>
                  </w:r>
                </w:p>
              </w:tc>
            </w:tr>
          </w:tbl>
          <w:p w14:paraId="0CF8E435"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90"/>
              <w:gridCol w:w="8502"/>
            </w:tblGrid>
            <w:tr w:rsidR="00522EED" w:rsidRPr="00522EED" w14:paraId="0BA5D9DA" w14:textId="77777777">
              <w:tc>
                <w:tcPr>
                  <w:tcW w:w="0" w:type="auto"/>
                  <w:shd w:val="clear" w:color="auto" w:fill="auto"/>
                  <w:hideMark/>
                </w:tcPr>
                <w:p w14:paraId="4357886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101834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refer the dispute to the competent courts within the meaning of Clause 18.</w:t>
                  </w:r>
                </w:p>
              </w:tc>
            </w:tr>
          </w:tbl>
          <w:p w14:paraId="74A329A1"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1796AD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7C615C7" w14:textId="77777777" w:rsidTr="00AB24F5">
        <w:tc>
          <w:tcPr>
            <w:tcW w:w="0" w:type="auto"/>
            <w:shd w:val="clear" w:color="auto" w:fill="auto"/>
            <w:hideMark/>
          </w:tcPr>
          <w:p w14:paraId="0A8DA2C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76AAF6A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accept that the data subject may be represented by a not-for-profit body, </w:t>
            </w:r>
            <w:proofErr w:type="spellStart"/>
            <w:r w:rsidRPr="00522EED">
              <w:rPr>
                <w:rFonts w:ascii="Arial" w:eastAsia="Times New Roman" w:hAnsi="Arial" w:cs="Arial"/>
                <w:sz w:val="20"/>
                <w:szCs w:val="20"/>
              </w:rPr>
              <w:t>organisation</w:t>
            </w:r>
            <w:proofErr w:type="spellEnd"/>
            <w:r w:rsidRPr="00522EED">
              <w:rPr>
                <w:rFonts w:ascii="Arial" w:eastAsia="Times New Roman" w:hAnsi="Arial" w:cs="Arial"/>
                <w:sz w:val="20"/>
                <w:szCs w:val="20"/>
              </w:rPr>
              <w:t xml:space="preserve"> or association under the conditions set out in Article 80(1) of Regulation (EU) 2016/679.</w:t>
            </w:r>
          </w:p>
        </w:tc>
      </w:tr>
    </w:tbl>
    <w:p w14:paraId="253E3F5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D3A7F5" w14:textId="77777777" w:rsidTr="00AB24F5">
        <w:tc>
          <w:tcPr>
            <w:tcW w:w="0" w:type="auto"/>
            <w:shd w:val="clear" w:color="auto" w:fill="auto"/>
            <w:hideMark/>
          </w:tcPr>
          <w:p w14:paraId="6010FA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06731AB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abide by a decision that is binding under the applicable EU or Member State law.</w:t>
            </w:r>
          </w:p>
        </w:tc>
      </w:tr>
    </w:tbl>
    <w:p w14:paraId="3ADF299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3195B558" w14:textId="77777777" w:rsidTr="00AB24F5">
        <w:tc>
          <w:tcPr>
            <w:tcW w:w="0" w:type="auto"/>
            <w:shd w:val="clear" w:color="auto" w:fill="auto"/>
            <w:hideMark/>
          </w:tcPr>
          <w:p w14:paraId="1E4A3EB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shd w:val="clear" w:color="auto" w:fill="auto"/>
            <w:hideMark/>
          </w:tcPr>
          <w:p w14:paraId="2154142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that the choice made by the data subject will not prejudice his/her substantive and procedural rights to seek remedies in accordance with applicable laws.</w:t>
            </w:r>
          </w:p>
        </w:tc>
      </w:tr>
    </w:tbl>
    <w:p w14:paraId="575ACC0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12</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Liability</w:t>
      </w:r>
    </w:p>
    <w:p w14:paraId="515136CD"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7AA09A" w14:textId="77777777" w:rsidTr="00AB24F5">
        <w:tc>
          <w:tcPr>
            <w:tcW w:w="0" w:type="auto"/>
            <w:shd w:val="clear" w:color="auto" w:fill="auto"/>
            <w:hideMark/>
          </w:tcPr>
          <w:p w14:paraId="33B03AA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AC6EC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Each Party shall be liable to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for any damages it causes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by any breach of these Clauses.</w:t>
            </w:r>
          </w:p>
        </w:tc>
      </w:tr>
    </w:tbl>
    <w:p w14:paraId="576FE92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2085560" w14:textId="77777777" w:rsidTr="00AB24F5">
        <w:tc>
          <w:tcPr>
            <w:tcW w:w="0" w:type="auto"/>
            <w:shd w:val="clear" w:color="auto" w:fill="auto"/>
            <w:hideMark/>
          </w:tcPr>
          <w:p w14:paraId="7B5008E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487380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be liable to the data subject, and the data subject shall be entitled to receive compensation, for any material or non-material damages the data importer or its sub-processor causes the data subject by breaching the third-party beneficiary rights under these Clauses.</w:t>
            </w:r>
          </w:p>
        </w:tc>
      </w:tr>
    </w:tbl>
    <w:p w14:paraId="64C00B5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EF1067F" w14:textId="77777777" w:rsidTr="00AB24F5">
        <w:tc>
          <w:tcPr>
            <w:tcW w:w="0" w:type="auto"/>
            <w:shd w:val="clear" w:color="auto" w:fill="auto"/>
            <w:hideMark/>
          </w:tcPr>
          <w:p w14:paraId="368086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7BC1A55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Notwithstanding paragraph (b), the data exporter shall be liable to the data subject, and the data subject shall be entitled to receive compensation, for any material or non-material damages the data exporter or the data importer (or its sub-processor) causes the data subject by breaching the third-party beneficiary rights under these Clauses. This is without prejudice to the liability of the data exporter and, where the data exporter is a processor acting on behalf of a controller, to the liability of the controller under Regulation (EU) 2016/679 or Regulation (EU) 2018/1725, as applicable.</w:t>
            </w:r>
          </w:p>
        </w:tc>
      </w:tr>
    </w:tbl>
    <w:p w14:paraId="0F9314C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EA9E876" w14:textId="77777777" w:rsidTr="00AB24F5">
        <w:tc>
          <w:tcPr>
            <w:tcW w:w="0" w:type="auto"/>
            <w:shd w:val="clear" w:color="auto" w:fill="auto"/>
            <w:hideMark/>
          </w:tcPr>
          <w:p w14:paraId="1890B33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(d)</w:t>
            </w:r>
          </w:p>
        </w:tc>
        <w:tc>
          <w:tcPr>
            <w:tcW w:w="0" w:type="auto"/>
            <w:shd w:val="clear" w:color="auto" w:fill="auto"/>
            <w:hideMark/>
          </w:tcPr>
          <w:p w14:paraId="0238232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the data exporter is held liable under paragraph (c) for damages caused by the data importer (or its sub-processor), it shall be entitled to claim back from the data importer that part of the compensation corresponding to the data importer’s responsibility for the damage.</w:t>
            </w:r>
          </w:p>
        </w:tc>
      </w:tr>
    </w:tbl>
    <w:p w14:paraId="1747C76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C4ADA6E" w14:textId="77777777" w:rsidTr="00AB24F5">
        <w:tc>
          <w:tcPr>
            <w:tcW w:w="0" w:type="auto"/>
            <w:shd w:val="clear" w:color="auto" w:fill="auto"/>
            <w:hideMark/>
          </w:tcPr>
          <w:p w14:paraId="37BA287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7BAF39D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Where more than one Party is responsible for any damage caused to the data subject </w:t>
            </w:r>
            <w:proofErr w:type="gramStart"/>
            <w:r w:rsidRPr="00522EED">
              <w:rPr>
                <w:rFonts w:ascii="Arial" w:eastAsia="Times New Roman" w:hAnsi="Arial" w:cs="Arial"/>
                <w:sz w:val="20"/>
                <w:szCs w:val="20"/>
              </w:rPr>
              <w:t>as a result of</w:t>
            </w:r>
            <w:proofErr w:type="gramEnd"/>
            <w:r w:rsidRPr="00522EED">
              <w:rPr>
                <w:rFonts w:ascii="Arial" w:eastAsia="Times New Roman" w:hAnsi="Arial" w:cs="Arial"/>
                <w:sz w:val="20"/>
                <w:szCs w:val="20"/>
              </w:rPr>
              <w:t xml:space="preserve"> a breach of these Clauses, all responsible Parties shall be jointly and severally liable and the data subject is entitled to bring an action in court against any of these Parties.</w:t>
            </w:r>
          </w:p>
        </w:tc>
      </w:tr>
    </w:tbl>
    <w:p w14:paraId="2EAA620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0553246A" w14:textId="77777777" w:rsidTr="00AB24F5">
        <w:tc>
          <w:tcPr>
            <w:tcW w:w="0" w:type="auto"/>
            <w:shd w:val="clear" w:color="auto" w:fill="auto"/>
            <w:hideMark/>
          </w:tcPr>
          <w:p w14:paraId="597FD6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shd w:val="clear" w:color="auto" w:fill="auto"/>
            <w:hideMark/>
          </w:tcPr>
          <w:p w14:paraId="184E0CF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that if one Party is held liable under paragraph (e), it shall be entitled to claim back from the other Party/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that part of the compensation corresponding to its/their responsibility for the damage.</w:t>
            </w:r>
          </w:p>
        </w:tc>
      </w:tr>
    </w:tbl>
    <w:p w14:paraId="61A8A61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71"/>
        <w:gridCol w:w="8755"/>
      </w:tblGrid>
      <w:tr w:rsidR="00522EED" w:rsidRPr="00522EED" w14:paraId="427922FA" w14:textId="77777777" w:rsidTr="00AB24F5">
        <w:tc>
          <w:tcPr>
            <w:tcW w:w="0" w:type="auto"/>
            <w:shd w:val="clear" w:color="auto" w:fill="auto"/>
            <w:hideMark/>
          </w:tcPr>
          <w:p w14:paraId="1DF880F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(g)</w:t>
            </w:r>
          </w:p>
        </w:tc>
        <w:tc>
          <w:tcPr>
            <w:tcW w:w="0" w:type="auto"/>
            <w:shd w:val="clear" w:color="auto" w:fill="auto"/>
            <w:hideMark/>
          </w:tcPr>
          <w:p w14:paraId="61778D6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may not invoke the conduct of a sub-processor to avoid its own liability.</w:t>
            </w:r>
          </w:p>
        </w:tc>
      </w:tr>
    </w:tbl>
    <w:p w14:paraId="3C3FBA3F"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13</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Supervision</w:t>
      </w:r>
    </w:p>
    <w:p w14:paraId="73D8CC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524A7E4B" w14:textId="77777777" w:rsidTr="00AB24F5">
        <w:tc>
          <w:tcPr>
            <w:tcW w:w="0" w:type="auto"/>
            <w:shd w:val="clear" w:color="auto" w:fill="auto"/>
            <w:hideMark/>
          </w:tcPr>
          <w:p w14:paraId="5F1D59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40BC3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supervisory authority with responsibility for ensuring compliance by the data exporter with Regulation (EU) 2016/679 as regards the data transfer, as indicated in Annex I.C, shall act as c</w:t>
            </w:r>
            <w:r w:rsidR="00F664F9" w:rsidRPr="00522EED">
              <w:rPr>
                <w:rFonts w:ascii="Arial" w:eastAsia="Times New Roman" w:hAnsi="Arial" w:cs="Arial"/>
                <w:sz w:val="20"/>
                <w:szCs w:val="20"/>
              </w:rPr>
              <w:t>ompetent supervisory authority.</w:t>
            </w:r>
          </w:p>
        </w:tc>
      </w:tr>
    </w:tbl>
    <w:p w14:paraId="0EDBD5E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9B5A990" w14:textId="77777777" w:rsidTr="00AB24F5">
        <w:tc>
          <w:tcPr>
            <w:tcW w:w="0" w:type="auto"/>
            <w:shd w:val="clear" w:color="auto" w:fill="auto"/>
            <w:hideMark/>
          </w:tcPr>
          <w:p w14:paraId="22A9731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59B0ABA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submit itself to the jurisdiction of and cooperate with the competent supervisory authority in any procedures aimed at ensuring compliance with these Clauses. In particular, the data importer agrees to respond to enquiries, submit to audits and comply with the measures adopted by the supervisory authority, including remedial and compensatory measures. It shall provide the supervisory authority with written confirmation that the necessary actions have been taken.</w:t>
            </w:r>
          </w:p>
        </w:tc>
      </w:tr>
    </w:tbl>
    <w:p w14:paraId="7936E43B"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t>SECTION III – LOCAL LAWS AND OBLIGATIONS IN CASE OF ACCESS BY PUBLIC AUTHORITIES</w:t>
      </w:r>
    </w:p>
    <w:p w14:paraId="49DEB35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14</w:t>
      </w:r>
      <w:r w:rsidR="004B0E85"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 xml:space="preserve">Local laws and practices affecting compliance with the </w:t>
      </w:r>
      <w:proofErr w:type="gramStart"/>
      <w:r w:rsidRPr="00522EED">
        <w:rPr>
          <w:rFonts w:ascii="Arial" w:eastAsia="Times New Roman" w:hAnsi="Arial" w:cs="Arial"/>
          <w:b/>
          <w:bCs/>
          <w:sz w:val="20"/>
          <w:szCs w:val="20"/>
        </w:rPr>
        <w:t>Clauses</w:t>
      </w:r>
      <w:proofErr w:type="gramEnd"/>
    </w:p>
    <w:p w14:paraId="7F9370B6"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620AED" w14:textId="77777777" w:rsidTr="00AB24F5">
        <w:tc>
          <w:tcPr>
            <w:tcW w:w="0" w:type="auto"/>
            <w:shd w:val="clear" w:color="auto" w:fill="auto"/>
            <w:hideMark/>
          </w:tcPr>
          <w:p w14:paraId="565801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938069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warrant that they have no reason to believe that the laws and practices in the third country of destination applicable to the processing of the personal data by the data importer, including any requirements to disclose personal data or measures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public authorities, prevent the data importer from fulfilling its obligations under these Clauses. This is based on the understanding that laws and practices that respect the essence of the fundamental rights and freedoms and do not exceed what is necessary and proportionate in a democratic society to safeguard one of the objectives listed in Article 23(1) of Regulation (EU) 2016/679, are not in contradiction with these Clauses.</w:t>
            </w:r>
          </w:p>
        </w:tc>
      </w:tr>
    </w:tbl>
    <w:p w14:paraId="5D49FCC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F52626F" w14:textId="77777777" w:rsidTr="00AB24F5">
        <w:tc>
          <w:tcPr>
            <w:tcW w:w="0" w:type="auto"/>
            <w:shd w:val="clear" w:color="auto" w:fill="auto"/>
            <w:hideMark/>
          </w:tcPr>
          <w:p w14:paraId="7A73B14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436550E7"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declare that in providing the warranty in paragraph (a), they have taken due account </w:t>
            </w:r>
            <w:proofErr w:type="gramStart"/>
            <w:r w:rsidRPr="00522EED">
              <w:rPr>
                <w:rFonts w:ascii="Arial" w:eastAsia="Times New Roman" w:hAnsi="Arial" w:cs="Arial"/>
                <w:sz w:val="20"/>
                <w:szCs w:val="20"/>
              </w:rPr>
              <w:t>in particular of</w:t>
            </w:r>
            <w:proofErr w:type="gramEnd"/>
            <w:r w:rsidRPr="00522EED">
              <w:rPr>
                <w:rFonts w:ascii="Arial" w:eastAsia="Times New Roman" w:hAnsi="Arial" w:cs="Arial"/>
                <w:sz w:val="20"/>
                <w:szCs w:val="20"/>
              </w:rPr>
              <w:t xml:space="preserve"> the following elements:</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719604" w14:textId="77777777">
              <w:tc>
                <w:tcPr>
                  <w:tcW w:w="0" w:type="auto"/>
                  <w:shd w:val="clear" w:color="auto" w:fill="auto"/>
                  <w:hideMark/>
                </w:tcPr>
                <w:p w14:paraId="20DD92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6F575C0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specific circumstances of the transfer, including the length of the processing chain, the number of actors </w:t>
                  </w:r>
                  <w:proofErr w:type="gramStart"/>
                  <w:r w:rsidRPr="00522EED">
                    <w:rPr>
                      <w:rFonts w:ascii="Arial" w:eastAsia="Times New Roman" w:hAnsi="Arial" w:cs="Arial"/>
                      <w:sz w:val="20"/>
                      <w:szCs w:val="20"/>
                    </w:rPr>
                    <w:t>involved</w:t>
                  </w:r>
                  <w:proofErr w:type="gramEnd"/>
                  <w:r w:rsidRPr="00522EED">
                    <w:rPr>
                      <w:rFonts w:ascii="Arial" w:eastAsia="Times New Roman" w:hAnsi="Arial" w:cs="Arial"/>
                      <w:sz w:val="20"/>
                      <w:szCs w:val="20"/>
                    </w:rPr>
                    <w:t xml:space="preserve"> and the transmission channels used; intended onward transfers; the type of recipient; the purpose of processing; the categories and format of the transferred personal data; the economic sector in which the transfer occurs; the storage location of the data transferred;</w:t>
                  </w:r>
                </w:p>
              </w:tc>
            </w:tr>
          </w:tbl>
          <w:p w14:paraId="7194D07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2AD85154" w14:textId="77777777">
              <w:tc>
                <w:tcPr>
                  <w:tcW w:w="0" w:type="auto"/>
                  <w:shd w:val="clear" w:color="auto" w:fill="auto"/>
                  <w:hideMark/>
                </w:tcPr>
                <w:p w14:paraId="750E948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4B6633A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laws and practices of the third country of destination– including those requiring the disclosure of data to public authorities or </w:t>
                  </w:r>
                  <w:proofErr w:type="spellStart"/>
                  <w:r w:rsidRPr="00522EED">
                    <w:rPr>
                      <w:rFonts w:ascii="Arial" w:eastAsia="Times New Roman" w:hAnsi="Arial" w:cs="Arial"/>
                      <w:sz w:val="20"/>
                      <w:szCs w:val="20"/>
                    </w:rPr>
                    <w:t>authorising</w:t>
                  </w:r>
                  <w:proofErr w:type="spellEnd"/>
                  <w:r w:rsidRPr="00522EED">
                    <w:rPr>
                      <w:rFonts w:ascii="Arial" w:eastAsia="Times New Roman" w:hAnsi="Arial" w:cs="Arial"/>
                      <w:sz w:val="20"/>
                      <w:szCs w:val="20"/>
                    </w:rPr>
                    <w:t xml:space="preserve"> access by such authorities – relevant </w:t>
                  </w:r>
                  <w:proofErr w:type="gramStart"/>
                  <w:r w:rsidRPr="00522EED">
                    <w:rPr>
                      <w:rFonts w:ascii="Arial" w:eastAsia="Times New Roman" w:hAnsi="Arial" w:cs="Arial"/>
                      <w:sz w:val="20"/>
                      <w:szCs w:val="20"/>
                    </w:rPr>
                    <w:t>in light of</w:t>
                  </w:r>
                  <w:proofErr w:type="gramEnd"/>
                  <w:r w:rsidRPr="00522EED">
                    <w:rPr>
                      <w:rFonts w:ascii="Arial" w:eastAsia="Times New Roman" w:hAnsi="Arial" w:cs="Arial"/>
                      <w:sz w:val="20"/>
                      <w:szCs w:val="20"/>
                    </w:rPr>
                    <w:t xml:space="preserve"> the specific circumstances of the transfer, and the applicable limitations and safeguards</w:t>
                  </w:r>
                  <w:r w:rsidR="004B0E85" w:rsidRPr="00522EED">
                    <w:rPr>
                      <w:rStyle w:val="FootnoteReference"/>
                      <w:rFonts w:ascii="Arial" w:eastAsia="Times New Roman" w:hAnsi="Arial" w:cs="Arial"/>
                      <w:sz w:val="20"/>
                      <w:szCs w:val="20"/>
                    </w:rPr>
                    <w:footnoteReference w:id="5"/>
                  </w:r>
                  <w:r w:rsidRPr="00522EED">
                    <w:rPr>
                      <w:rFonts w:ascii="Arial" w:eastAsia="Times New Roman" w:hAnsi="Arial" w:cs="Arial"/>
                      <w:sz w:val="20"/>
                      <w:szCs w:val="20"/>
                    </w:rPr>
                    <w:t>;</w:t>
                  </w:r>
                </w:p>
              </w:tc>
            </w:tr>
          </w:tbl>
          <w:p w14:paraId="47B4DE2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14"/>
            </w:tblGrid>
            <w:tr w:rsidR="00522EED" w:rsidRPr="00522EED" w14:paraId="63ED189B" w14:textId="77777777">
              <w:tc>
                <w:tcPr>
                  <w:tcW w:w="0" w:type="auto"/>
                  <w:shd w:val="clear" w:color="auto" w:fill="auto"/>
                  <w:hideMark/>
                </w:tcPr>
                <w:p w14:paraId="00BC5C5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shd w:val="clear" w:color="auto" w:fill="auto"/>
                  <w:hideMark/>
                </w:tcPr>
                <w:p w14:paraId="552E151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any relevant contractual, </w:t>
                  </w:r>
                  <w:proofErr w:type="gramStart"/>
                  <w:r w:rsidRPr="00522EED">
                    <w:rPr>
                      <w:rFonts w:ascii="Arial" w:eastAsia="Times New Roman" w:hAnsi="Arial" w:cs="Arial"/>
                      <w:sz w:val="20"/>
                      <w:szCs w:val="20"/>
                    </w:rPr>
                    <w:t>technical</w:t>
                  </w:r>
                  <w:proofErr w:type="gramEnd"/>
                  <w:r w:rsidRPr="00522EED">
                    <w:rPr>
                      <w:rFonts w:ascii="Arial" w:eastAsia="Times New Roman" w:hAnsi="Arial" w:cs="Arial"/>
                      <w:sz w:val="20"/>
                      <w:szCs w:val="20"/>
                    </w:rPr>
                    <w:t xml:space="preserve">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safeguards put in place to supplement the safeguards under these Clauses, including measures applied during transmission and to the processing of the personal data in the country of destination.</w:t>
                  </w:r>
                </w:p>
              </w:tc>
            </w:tr>
          </w:tbl>
          <w:p w14:paraId="19D5EF84"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5697211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2E95381A" w14:textId="77777777" w:rsidTr="00AB24F5">
        <w:tc>
          <w:tcPr>
            <w:tcW w:w="0" w:type="auto"/>
            <w:shd w:val="clear" w:color="auto" w:fill="auto"/>
            <w:hideMark/>
          </w:tcPr>
          <w:p w14:paraId="7EDDC80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1D5059E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warrants that, in carrying out the assessment under paragraph (b), it has made its best efforts to provide the data exporter with relevant information and agrees that it will continue to cooperate with the data exporter in ensuring compliance with these Clauses.</w:t>
            </w:r>
          </w:p>
        </w:tc>
      </w:tr>
    </w:tbl>
    <w:p w14:paraId="2D9600B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8BD6AFE" w14:textId="77777777" w:rsidTr="00AB24F5">
        <w:tc>
          <w:tcPr>
            <w:tcW w:w="0" w:type="auto"/>
            <w:shd w:val="clear" w:color="auto" w:fill="auto"/>
            <w:hideMark/>
          </w:tcPr>
          <w:p w14:paraId="6EA6E41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138A391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document the assessment under paragraph (b)</w:t>
            </w:r>
            <w:r w:rsidR="009035A4">
              <w:rPr>
                <w:rFonts w:ascii="Arial" w:eastAsia="Times New Roman" w:hAnsi="Arial" w:cs="Arial"/>
                <w:sz w:val="20"/>
                <w:szCs w:val="20"/>
              </w:rPr>
              <w:t xml:space="preserve"> </w:t>
            </w:r>
            <w:r w:rsidR="00AF51D9">
              <w:rPr>
                <w:rStyle w:val="FootnoteReference"/>
                <w:rFonts w:ascii="Arial" w:eastAsia="Times New Roman" w:hAnsi="Arial" w:cs="Arial"/>
                <w:sz w:val="20"/>
                <w:szCs w:val="20"/>
              </w:rPr>
              <w:footnoteReference w:id="6"/>
            </w:r>
            <w:r w:rsidRPr="00522EED">
              <w:rPr>
                <w:rFonts w:ascii="Arial" w:eastAsia="Times New Roman" w:hAnsi="Arial" w:cs="Arial"/>
                <w:sz w:val="20"/>
                <w:szCs w:val="20"/>
              </w:rPr>
              <w:t xml:space="preserve"> and make it available to the competent supervisory authority on request.</w:t>
            </w:r>
          </w:p>
        </w:tc>
      </w:tr>
    </w:tbl>
    <w:p w14:paraId="55BE763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7C814B89" w14:textId="77777777" w:rsidTr="00AB24F5">
        <w:tc>
          <w:tcPr>
            <w:tcW w:w="0" w:type="auto"/>
            <w:shd w:val="clear" w:color="auto" w:fill="auto"/>
            <w:hideMark/>
          </w:tcPr>
          <w:p w14:paraId="06CA74C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1FEDAFE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notify the data exporter promptly if, after having agreed to these Clauses and for the duration of the contract, it has reason to believe that it is or has become subject to laws or practices not in line with the requirements under paragraph (a), including following a change in the laws of the third country or a measure (such as a disclosure request) indicating an application of such laws in practice that is not in line with the requirements in paragraph (a). </w:t>
            </w:r>
          </w:p>
        </w:tc>
      </w:tr>
    </w:tbl>
    <w:p w14:paraId="073BD03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4B3D032F" w14:textId="77777777" w:rsidTr="00AB24F5">
        <w:tc>
          <w:tcPr>
            <w:tcW w:w="0" w:type="auto"/>
            <w:shd w:val="clear" w:color="auto" w:fill="auto"/>
            <w:hideMark/>
          </w:tcPr>
          <w:p w14:paraId="1CAEA0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w:t>
            </w:r>
          </w:p>
        </w:tc>
        <w:tc>
          <w:tcPr>
            <w:tcW w:w="0" w:type="auto"/>
            <w:shd w:val="clear" w:color="auto" w:fill="auto"/>
            <w:hideMark/>
          </w:tcPr>
          <w:p w14:paraId="724B3BAB" w14:textId="77777777" w:rsidR="00AB24F5" w:rsidRPr="00522EED" w:rsidRDefault="00AB24F5" w:rsidP="00AF51D9">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Following a notification pursuant to paragraph (e), or if the data exporter otherwise has reason to believe that the data importer can no longer fulfil its obligations under these Clauses, the data exporter shall promptly identify appropriate measures (</w:t>
            </w:r>
            <w:proofErr w:type="gramStart"/>
            <w:r w:rsidRPr="00522EED">
              <w:rPr>
                <w:rFonts w:ascii="Arial" w:eastAsia="Times New Roman" w:hAnsi="Arial" w:cs="Arial"/>
                <w:sz w:val="20"/>
                <w:szCs w:val="20"/>
              </w:rPr>
              <w:t>e.g.</w:t>
            </w:r>
            <w:proofErr w:type="gramEnd"/>
            <w:r w:rsidRPr="00522EED">
              <w:rPr>
                <w:rFonts w:ascii="Arial" w:eastAsia="Times New Roman" w:hAnsi="Arial" w:cs="Arial"/>
                <w:sz w:val="20"/>
                <w:szCs w:val="20"/>
              </w:rPr>
              <w:t xml:space="preserve"> technical or </w:t>
            </w:r>
            <w:proofErr w:type="spellStart"/>
            <w:r w:rsidRPr="00522EED">
              <w:rPr>
                <w:rFonts w:ascii="Arial" w:eastAsia="Times New Roman" w:hAnsi="Arial" w:cs="Arial"/>
                <w:sz w:val="20"/>
                <w:szCs w:val="20"/>
              </w:rPr>
              <w:t>organisational</w:t>
            </w:r>
            <w:proofErr w:type="spellEnd"/>
            <w:r w:rsidRPr="00522EED">
              <w:rPr>
                <w:rFonts w:ascii="Arial" w:eastAsia="Times New Roman" w:hAnsi="Arial" w:cs="Arial"/>
                <w:sz w:val="20"/>
                <w:szCs w:val="20"/>
              </w:rPr>
              <w:t xml:space="preserve"> measures to ensure security and confidentiality) to be adopted by the data exporter and/or data importer to address the situation. The data exporter shall suspend the data transfer if it considers that no appropriate safeguards for such transfer can be ensured, or if instructed </w:t>
            </w:r>
            <w:proofErr w:type="gramStart"/>
            <w:r w:rsidRPr="00522EED">
              <w:rPr>
                <w:rFonts w:ascii="Arial" w:eastAsia="Times New Roman" w:hAnsi="Arial" w:cs="Arial"/>
                <w:sz w:val="20"/>
                <w:szCs w:val="20"/>
              </w:rPr>
              <w:t>by  the</w:t>
            </w:r>
            <w:proofErr w:type="gramEnd"/>
            <w:r w:rsidRPr="00522EED">
              <w:rPr>
                <w:rFonts w:ascii="Arial" w:eastAsia="Times New Roman" w:hAnsi="Arial" w:cs="Arial"/>
                <w:sz w:val="20"/>
                <w:szCs w:val="20"/>
              </w:rPr>
              <w:t xml:space="preserve"> competent supervisory authority to do so. In this case, the data exporter shall be entitled to terminate the contract, insofar as it concerns the processing of personal data under these Clauses. If the contract involves more than two Parties, the data exporter may exercise this right to termination only with respect to the relevant Party, unless the Parties have agreed otherwise. Where the contract is terminated pursuant to this Clause, Clause 16(d) and (e) shall apply.</w:t>
            </w:r>
          </w:p>
        </w:tc>
      </w:tr>
    </w:tbl>
    <w:p w14:paraId="7EB009D9"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15</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Obligations of the data importer in case of access by public authorities</w:t>
      </w:r>
    </w:p>
    <w:p w14:paraId="4276B9A0"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5FBC0943"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lastRenderedPageBreak/>
        <w:t>15.1   Notification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113DB336" w14:textId="77777777" w:rsidTr="00AB24F5">
        <w:tc>
          <w:tcPr>
            <w:tcW w:w="0" w:type="auto"/>
            <w:shd w:val="clear" w:color="auto" w:fill="auto"/>
            <w:hideMark/>
          </w:tcPr>
          <w:p w14:paraId="4BBC3C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F78996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notify the data exporter and, where possible, the data subject promptly (if </w:t>
            </w:r>
            <w:proofErr w:type="gramStart"/>
            <w:r w:rsidRPr="00522EED">
              <w:rPr>
                <w:rFonts w:ascii="Arial" w:eastAsia="Times New Roman" w:hAnsi="Arial" w:cs="Arial"/>
                <w:sz w:val="20"/>
                <w:szCs w:val="20"/>
              </w:rPr>
              <w:t>necessary</w:t>
            </w:r>
            <w:proofErr w:type="gramEnd"/>
            <w:r w:rsidRPr="00522EED">
              <w:rPr>
                <w:rFonts w:ascii="Arial" w:eastAsia="Times New Roman" w:hAnsi="Arial" w:cs="Arial"/>
                <w:sz w:val="20"/>
                <w:szCs w:val="20"/>
              </w:rPr>
              <w:t xml:space="preserve"> with the help of the data exporter) if it:</w:t>
            </w:r>
          </w:p>
          <w:tbl>
            <w:tblPr>
              <w:tblW w:w="5000" w:type="pct"/>
              <w:tblCellMar>
                <w:left w:w="0" w:type="dxa"/>
                <w:right w:w="0" w:type="dxa"/>
              </w:tblCellMar>
              <w:tblLook w:val="04A0" w:firstRow="1" w:lastRow="0" w:firstColumn="1" w:lastColumn="0" w:noHBand="0" w:noVBand="1"/>
            </w:tblPr>
            <w:tblGrid>
              <w:gridCol w:w="178"/>
              <w:gridCol w:w="8603"/>
            </w:tblGrid>
            <w:tr w:rsidR="00522EED" w:rsidRPr="00522EED" w14:paraId="0580B14D" w14:textId="77777777">
              <w:tc>
                <w:tcPr>
                  <w:tcW w:w="0" w:type="auto"/>
                  <w:shd w:val="clear" w:color="auto" w:fill="auto"/>
                  <w:hideMark/>
                </w:tcPr>
                <w:p w14:paraId="20A0A13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4D565ED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receives a legally binding request from a public authority, including judicial authorities, under the laws of the country of destination for the disclosure of personal data transferred pursuant to these Clauses; such notification shall include information about the personal data requested, the requesting authority, the legal basis for the request and the response provided; or</w:t>
                  </w:r>
                </w:p>
              </w:tc>
            </w:tr>
          </w:tbl>
          <w:p w14:paraId="351E98FC"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23"/>
              <w:gridCol w:w="8558"/>
            </w:tblGrid>
            <w:tr w:rsidR="00522EED" w:rsidRPr="00522EED" w14:paraId="3C8D8F42" w14:textId="77777777">
              <w:tc>
                <w:tcPr>
                  <w:tcW w:w="0" w:type="auto"/>
                  <w:shd w:val="clear" w:color="auto" w:fill="auto"/>
                  <w:hideMark/>
                </w:tcPr>
                <w:p w14:paraId="71DFD65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332F66F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becomes aware of any direct access by public authorities to personal data transferred pursuant to these Clauses in accordance with the laws of the country of destination; such notification shall include all information available to the importer.</w:t>
                  </w:r>
                </w:p>
              </w:tc>
            </w:tr>
          </w:tbl>
          <w:p w14:paraId="1DBDB10B"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0710EBA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C12EB36" w14:textId="77777777" w:rsidTr="00AB24F5">
        <w:tc>
          <w:tcPr>
            <w:tcW w:w="0" w:type="auto"/>
            <w:shd w:val="clear" w:color="auto" w:fill="auto"/>
            <w:hideMark/>
          </w:tcPr>
          <w:p w14:paraId="2F2CE84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68D8466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w:t>
            </w:r>
            <w:proofErr w:type="gramStart"/>
            <w:r w:rsidRPr="00522EED">
              <w:rPr>
                <w:rFonts w:ascii="Arial" w:eastAsia="Times New Roman" w:hAnsi="Arial" w:cs="Arial"/>
                <w:sz w:val="20"/>
                <w:szCs w:val="20"/>
              </w:rPr>
              <w:t>in order to</w:t>
            </w:r>
            <w:proofErr w:type="gramEnd"/>
            <w:r w:rsidRPr="00522EED">
              <w:rPr>
                <w:rFonts w:ascii="Arial" w:eastAsia="Times New Roman" w:hAnsi="Arial" w:cs="Arial"/>
                <w:sz w:val="20"/>
                <w:szCs w:val="20"/>
              </w:rPr>
              <w:t xml:space="preserve"> be able to demonstrate them on request of the data exporter.</w:t>
            </w:r>
          </w:p>
        </w:tc>
      </w:tr>
    </w:tbl>
    <w:p w14:paraId="0CD65D1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F082826" w14:textId="77777777" w:rsidTr="00AB24F5">
        <w:tc>
          <w:tcPr>
            <w:tcW w:w="0" w:type="auto"/>
            <w:shd w:val="clear" w:color="auto" w:fill="auto"/>
            <w:hideMark/>
          </w:tcPr>
          <w:p w14:paraId="16BF345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4047014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w:t>
            </w:r>
            <w:proofErr w:type="spellStart"/>
            <w:r w:rsidRPr="00522EED">
              <w:rPr>
                <w:rFonts w:ascii="Arial" w:eastAsia="Times New Roman" w:hAnsi="Arial" w:cs="Arial"/>
                <w:sz w:val="20"/>
                <w:szCs w:val="20"/>
              </w:rPr>
              <w:t>ies</w:t>
            </w:r>
            <w:proofErr w:type="spellEnd"/>
            <w:r w:rsidRPr="00522EED">
              <w:rPr>
                <w:rFonts w:ascii="Arial" w:eastAsia="Times New Roman" w:hAnsi="Arial" w:cs="Arial"/>
                <w:sz w:val="20"/>
                <w:szCs w:val="20"/>
              </w:rPr>
              <w:t xml:space="preserve">, whether requests have been challenged and the outcome of such challenges, etc.). </w:t>
            </w:r>
          </w:p>
        </w:tc>
      </w:tr>
    </w:tbl>
    <w:p w14:paraId="76F93E9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F34E9E2" w14:textId="77777777" w:rsidTr="00AB24F5">
        <w:tc>
          <w:tcPr>
            <w:tcW w:w="0" w:type="auto"/>
            <w:shd w:val="clear" w:color="auto" w:fill="auto"/>
            <w:hideMark/>
          </w:tcPr>
          <w:p w14:paraId="52E2888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579BCDD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preserve the information pursuant to paragraphs (a) to (c) for the duration of the contract and make it available to the competent supervisory authority on request.</w:t>
            </w:r>
          </w:p>
        </w:tc>
      </w:tr>
    </w:tbl>
    <w:p w14:paraId="7BFD33B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6B04CA" w14:textId="77777777" w:rsidTr="00AB24F5">
        <w:tc>
          <w:tcPr>
            <w:tcW w:w="0" w:type="auto"/>
            <w:shd w:val="clear" w:color="auto" w:fill="auto"/>
            <w:hideMark/>
          </w:tcPr>
          <w:p w14:paraId="3BB6625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5EE7F33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Paragraphs (a) to (c) are without prejudice to the obligation of the data importer pursuant to Clause 14(e) and Clause 16 to inform the data exporter promptly where it is unable to comply with these Clauses.</w:t>
            </w:r>
          </w:p>
        </w:tc>
      </w:tr>
    </w:tbl>
    <w:p w14:paraId="3BA37181"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 xml:space="preserve">15.2   Review of legality and data </w:t>
      </w:r>
      <w:proofErr w:type="spellStart"/>
      <w:r w:rsidRPr="00522EED">
        <w:rPr>
          <w:rFonts w:ascii="Arial" w:eastAsia="Times New Roman" w:hAnsi="Arial" w:cs="Arial"/>
          <w:b/>
          <w:bCs/>
          <w:sz w:val="20"/>
          <w:szCs w:val="20"/>
        </w:rPr>
        <w:t>minimisation</w:t>
      </w:r>
      <w:proofErr w:type="spellEnd"/>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339A879" w14:textId="77777777" w:rsidTr="00AB24F5">
        <w:tc>
          <w:tcPr>
            <w:tcW w:w="0" w:type="auto"/>
            <w:shd w:val="clear" w:color="auto" w:fill="auto"/>
            <w:hideMark/>
          </w:tcPr>
          <w:p w14:paraId="08463D9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09B516D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review the legality of the request for disclosure, </w:t>
            </w:r>
            <w:proofErr w:type="gramStart"/>
            <w:r w:rsidRPr="00522EED">
              <w:rPr>
                <w:rFonts w:ascii="Arial" w:eastAsia="Times New Roman" w:hAnsi="Arial" w:cs="Arial"/>
                <w:sz w:val="20"/>
                <w:szCs w:val="20"/>
              </w:rPr>
              <w:t>in particular whether</w:t>
            </w:r>
            <w:proofErr w:type="gramEnd"/>
            <w:r w:rsidRPr="00522EED">
              <w:rPr>
                <w:rFonts w:ascii="Arial" w:eastAsia="Times New Roman" w:hAnsi="Arial" w:cs="Arial"/>
                <w:sz w:val="20"/>
                <w:szCs w:val="20"/>
              </w:rPr>
              <w:t xml:space="preserve">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tc>
      </w:tr>
    </w:tbl>
    <w:p w14:paraId="5600DB2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E5923" w14:textId="77777777" w:rsidTr="00AB24F5">
        <w:tc>
          <w:tcPr>
            <w:tcW w:w="0" w:type="auto"/>
            <w:shd w:val="clear" w:color="auto" w:fill="auto"/>
            <w:hideMark/>
          </w:tcPr>
          <w:p w14:paraId="79E580E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748E0A4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 </w:t>
            </w:r>
          </w:p>
        </w:tc>
      </w:tr>
    </w:tbl>
    <w:p w14:paraId="751E3E7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2374FC7" w14:textId="77777777" w:rsidTr="00AB24F5">
        <w:tc>
          <w:tcPr>
            <w:tcW w:w="0" w:type="auto"/>
            <w:shd w:val="clear" w:color="auto" w:fill="auto"/>
            <w:hideMark/>
          </w:tcPr>
          <w:p w14:paraId="2450837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3FD0A42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agrees to provide the minimum amount of information permissible when responding to a request for disclosure, based on a reasonable interpretation of the request.</w:t>
            </w:r>
          </w:p>
        </w:tc>
      </w:tr>
    </w:tbl>
    <w:p w14:paraId="5EFC61A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SECTION IV – FINAL PROVISIONS</w:t>
      </w:r>
    </w:p>
    <w:p w14:paraId="133C28A1"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16</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Non-compliance with the Clauses and termination</w:t>
      </w: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3D414201" w14:textId="77777777" w:rsidTr="00AB24F5">
        <w:tc>
          <w:tcPr>
            <w:tcW w:w="0" w:type="auto"/>
            <w:shd w:val="clear" w:color="auto" w:fill="auto"/>
            <w:hideMark/>
          </w:tcPr>
          <w:p w14:paraId="05EF68DB"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w:t>
            </w:r>
          </w:p>
        </w:tc>
        <w:tc>
          <w:tcPr>
            <w:tcW w:w="0" w:type="auto"/>
            <w:shd w:val="clear" w:color="auto" w:fill="auto"/>
            <w:hideMark/>
          </w:tcPr>
          <w:p w14:paraId="4C964E2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shall promptly inform the data exporter if it is unable to comply with these Clauses, for whatever reason.</w:t>
            </w:r>
          </w:p>
        </w:tc>
      </w:tr>
    </w:tbl>
    <w:p w14:paraId="0B8DE24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082FCDF0" w14:textId="77777777" w:rsidTr="00AB24F5">
        <w:tc>
          <w:tcPr>
            <w:tcW w:w="0" w:type="auto"/>
            <w:shd w:val="clear" w:color="auto" w:fill="auto"/>
            <w:hideMark/>
          </w:tcPr>
          <w:p w14:paraId="5D2F77D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01147096"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sidRPr="00522EED">
              <w:rPr>
                <w:rFonts w:ascii="Arial" w:eastAsia="Times New Roman" w:hAnsi="Arial" w:cs="Arial"/>
                <w:sz w:val="20"/>
                <w:szCs w:val="20"/>
              </w:rPr>
              <w:t>In the event that</w:t>
            </w:r>
            <w:proofErr w:type="gramEnd"/>
            <w:r w:rsidRPr="00522EED">
              <w:rPr>
                <w:rFonts w:ascii="Arial" w:eastAsia="Times New Roman" w:hAnsi="Arial" w:cs="Arial"/>
                <w:sz w:val="20"/>
                <w:szCs w:val="20"/>
              </w:rPr>
              <w:t xml:space="preserve">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tc>
      </w:tr>
    </w:tbl>
    <w:p w14:paraId="2CFC207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47E85D8F" w14:textId="77777777" w:rsidTr="00AB24F5">
        <w:tc>
          <w:tcPr>
            <w:tcW w:w="0" w:type="auto"/>
            <w:shd w:val="clear" w:color="auto" w:fill="auto"/>
            <w:hideMark/>
          </w:tcPr>
          <w:p w14:paraId="5F75737E"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37DC823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shall be entitled to terminate the contract, insofar as it concerns the processing of personal data under these Clauses, where:</w:t>
            </w:r>
          </w:p>
          <w:tbl>
            <w:tblPr>
              <w:tblW w:w="5000" w:type="pct"/>
              <w:tblCellMar>
                <w:left w:w="0" w:type="dxa"/>
                <w:right w:w="0" w:type="dxa"/>
              </w:tblCellMar>
              <w:tblLook w:val="04A0" w:firstRow="1" w:lastRow="0" w:firstColumn="1" w:lastColumn="0" w:noHBand="0" w:noVBand="1"/>
            </w:tblPr>
            <w:tblGrid>
              <w:gridCol w:w="178"/>
              <w:gridCol w:w="8614"/>
            </w:tblGrid>
            <w:tr w:rsidR="00522EED" w:rsidRPr="00522EED" w14:paraId="2DA6829C" w14:textId="77777777">
              <w:tc>
                <w:tcPr>
                  <w:tcW w:w="0" w:type="auto"/>
                  <w:shd w:val="clear" w:color="auto" w:fill="auto"/>
                  <w:hideMark/>
                </w:tcPr>
                <w:p w14:paraId="217BC36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w:t>
                  </w:r>
                </w:p>
              </w:tc>
              <w:tc>
                <w:tcPr>
                  <w:tcW w:w="0" w:type="auto"/>
                  <w:shd w:val="clear" w:color="auto" w:fill="auto"/>
                  <w:hideMark/>
                </w:tcPr>
                <w:p w14:paraId="24034CD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exporter has suspended the transfer of personal data to the data importer pursuant to paragraph (b) and compliance with these Clauses is not restored within a reasonable time and in any event within one month of suspension;</w:t>
                  </w:r>
                </w:p>
              </w:tc>
            </w:tr>
          </w:tbl>
          <w:p w14:paraId="67ED533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8"/>
              <w:gridCol w:w="8504"/>
            </w:tblGrid>
            <w:tr w:rsidR="00522EED" w:rsidRPr="00522EED" w14:paraId="5474C021" w14:textId="77777777">
              <w:tc>
                <w:tcPr>
                  <w:tcW w:w="0" w:type="auto"/>
                  <w:shd w:val="clear" w:color="auto" w:fill="auto"/>
                  <w:hideMark/>
                </w:tcPr>
                <w:p w14:paraId="169F50A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w:t>
                  </w:r>
                </w:p>
              </w:tc>
              <w:tc>
                <w:tcPr>
                  <w:tcW w:w="0" w:type="auto"/>
                  <w:shd w:val="clear" w:color="auto" w:fill="auto"/>
                  <w:hideMark/>
                </w:tcPr>
                <w:p w14:paraId="78E7174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is in substantial or persistent breach of these Clauses; or</w:t>
                  </w:r>
                </w:p>
              </w:tc>
            </w:tr>
          </w:tbl>
          <w:p w14:paraId="1DFB9AD1"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7"/>
              <w:gridCol w:w="8525"/>
            </w:tblGrid>
            <w:tr w:rsidR="00522EED" w:rsidRPr="00522EED" w14:paraId="34AF3F4C" w14:textId="77777777">
              <w:tc>
                <w:tcPr>
                  <w:tcW w:w="0" w:type="auto"/>
                  <w:shd w:val="clear" w:color="auto" w:fill="auto"/>
                  <w:hideMark/>
                </w:tcPr>
                <w:p w14:paraId="586EFBD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(iii)</w:t>
                  </w:r>
                </w:p>
              </w:tc>
              <w:tc>
                <w:tcPr>
                  <w:tcW w:w="0" w:type="auto"/>
                  <w:shd w:val="clear" w:color="auto" w:fill="auto"/>
                  <w:hideMark/>
                </w:tcPr>
                <w:p w14:paraId="34BF947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data importer fails to comply with a binding decision of a competent court or supervisory authority regarding its obligations under these Clauses.</w:t>
                  </w:r>
                </w:p>
              </w:tc>
            </w:tr>
          </w:tbl>
          <w:p w14:paraId="421C0493"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In these cases, it shall inform the competent supervisory authority of such non-compliance. Where the contract involves more than two Parties, the data exporter may exercise this right to termination only with respect to the relevant Party, unless the Parties have agreed otherwise.</w:t>
            </w:r>
          </w:p>
        </w:tc>
      </w:tr>
    </w:tbl>
    <w:p w14:paraId="385A0ED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45CB3A59" w14:textId="77777777" w:rsidTr="00AB24F5">
        <w:tc>
          <w:tcPr>
            <w:tcW w:w="0" w:type="auto"/>
            <w:shd w:val="clear" w:color="auto" w:fill="auto"/>
            <w:hideMark/>
          </w:tcPr>
          <w:p w14:paraId="71F82A6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58801C5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Personal data that has been transferred prior to the termination of the contract pursuant to paragraph (c) shall at the choice of the data exporter immediately be returned to the data exporter or deleted in its entirety. The same shall apply to any copies of the data.</w:t>
            </w:r>
            <w:r w:rsidR="00B51A41" w:rsidRPr="00522EED">
              <w:rPr>
                <w:rFonts w:ascii="Arial" w:eastAsia="Times New Roman" w:hAnsi="Arial" w:cs="Arial"/>
                <w:sz w:val="20"/>
                <w:szCs w:val="20"/>
              </w:rPr>
              <w:t xml:space="preserve"> </w:t>
            </w:r>
            <w:r w:rsidRPr="00522EED">
              <w:rPr>
                <w:rFonts w:ascii="Arial" w:eastAsia="Times New Roman" w:hAnsi="Arial" w:cs="Arial"/>
                <w:sz w:val="20"/>
                <w:szCs w:val="20"/>
              </w:rPr>
              <w:t>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tc>
      </w:tr>
    </w:tbl>
    <w:p w14:paraId="208A49E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45"/>
        <w:gridCol w:w="8781"/>
      </w:tblGrid>
      <w:tr w:rsidR="00522EED" w:rsidRPr="00522EED" w14:paraId="6A8B2B58" w14:textId="77777777" w:rsidTr="00AB24F5">
        <w:tc>
          <w:tcPr>
            <w:tcW w:w="0" w:type="auto"/>
            <w:shd w:val="clear" w:color="auto" w:fill="auto"/>
            <w:hideMark/>
          </w:tcPr>
          <w:p w14:paraId="744176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w:t>
            </w:r>
          </w:p>
        </w:tc>
        <w:tc>
          <w:tcPr>
            <w:tcW w:w="0" w:type="auto"/>
            <w:shd w:val="clear" w:color="auto" w:fill="auto"/>
            <w:hideMark/>
          </w:tcPr>
          <w:p w14:paraId="0E65982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Either Party may revoke its agreement to be bound by these Clauses where (</w:t>
            </w:r>
            <w:proofErr w:type="spellStart"/>
            <w:r w:rsidRPr="00522EED">
              <w:rPr>
                <w:rFonts w:ascii="Arial" w:eastAsia="Times New Roman" w:hAnsi="Arial" w:cs="Arial"/>
                <w:sz w:val="20"/>
                <w:szCs w:val="20"/>
              </w:rPr>
              <w:t>i</w:t>
            </w:r>
            <w:proofErr w:type="spellEnd"/>
            <w:r w:rsidRPr="00522EED">
              <w:rPr>
                <w:rFonts w:ascii="Arial" w:eastAsia="Times New Roman" w:hAnsi="Arial" w:cs="Arial"/>
                <w:sz w:val="20"/>
                <w:szCs w:val="20"/>
              </w:rPr>
              <w:t>)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tc>
      </w:tr>
    </w:tbl>
    <w:p w14:paraId="780AAFA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17</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Governing law</w:t>
      </w:r>
    </w:p>
    <w:p w14:paraId="4D00731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54C8E87" w14:textId="31B85918"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These Clauses shall be governed by the law of one of the EU Member States, provided such law allows for third-party beneficiary rights. The Parties agree that this shall be the law of </w:t>
      </w:r>
      <w:r w:rsidR="00F6590B">
        <w:rPr>
          <w:rFonts w:ascii="Arial" w:eastAsia="Times New Roman" w:hAnsi="Arial" w:cs="Arial"/>
          <w:sz w:val="20"/>
          <w:szCs w:val="20"/>
        </w:rPr>
        <w:t xml:space="preserve">the Grand-Duchy of </w:t>
      </w:r>
      <w:r w:rsidR="00F664F9" w:rsidRPr="00522EED">
        <w:rPr>
          <w:rFonts w:ascii="Arial" w:eastAsia="Times New Roman" w:hAnsi="Arial" w:cs="Arial"/>
          <w:sz w:val="20"/>
          <w:szCs w:val="20"/>
        </w:rPr>
        <w:t>Luxembourg.</w:t>
      </w:r>
    </w:p>
    <w:p w14:paraId="0504A1F8"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i/>
          <w:iCs/>
          <w:sz w:val="20"/>
          <w:szCs w:val="20"/>
        </w:rPr>
        <w:t>Clause 18</w:t>
      </w:r>
      <w:r w:rsidR="00B51A41" w:rsidRPr="00522EED">
        <w:rPr>
          <w:rFonts w:ascii="Arial" w:eastAsia="Times New Roman" w:hAnsi="Arial" w:cs="Arial"/>
          <w:b/>
          <w:bCs/>
          <w:i/>
          <w:iCs/>
          <w:sz w:val="20"/>
          <w:szCs w:val="20"/>
        </w:rPr>
        <w:t xml:space="preserve"> - </w:t>
      </w:r>
      <w:r w:rsidRPr="00522EED">
        <w:rPr>
          <w:rFonts w:ascii="Arial" w:eastAsia="Times New Roman" w:hAnsi="Arial" w:cs="Arial"/>
          <w:b/>
          <w:bCs/>
          <w:sz w:val="20"/>
          <w:szCs w:val="20"/>
        </w:rPr>
        <w:t>Choice of forum and jurisdiction</w:t>
      </w:r>
    </w:p>
    <w:p w14:paraId="1DC6612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tbl>
      <w:tblPr>
        <w:tblW w:w="5000" w:type="pct"/>
        <w:tblCellMar>
          <w:left w:w="0" w:type="dxa"/>
          <w:right w:w="0" w:type="dxa"/>
        </w:tblCellMar>
        <w:tblLook w:val="04A0" w:firstRow="1" w:lastRow="0" w:firstColumn="1" w:lastColumn="0" w:noHBand="0" w:noVBand="1"/>
      </w:tblPr>
      <w:tblGrid>
        <w:gridCol w:w="255"/>
        <w:gridCol w:w="8771"/>
      </w:tblGrid>
      <w:tr w:rsidR="00522EED" w:rsidRPr="00522EED" w14:paraId="0260A24D" w14:textId="77777777" w:rsidTr="00AB24F5">
        <w:tc>
          <w:tcPr>
            <w:tcW w:w="0" w:type="auto"/>
            <w:shd w:val="clear" w:color="auto" w:fill="auto"/>
            <w:hideMark/>
          </w:tcPr>
          <w:p w14:paraId="5E8A5954"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lastRenderedPageBreak/>
              <w:t>(a)</w:t>
            </w:r>
          </w:p>
        </w:tc>
        <w:tc>
          <w:tcPr>
            <w:tcW w:w="0" w:type="auto"/>
            <w:shd w:val="clear" w:color="auto" w:fill="auto"/>
            <w:hideMark/>
          </w:tcPr>
          <w:p w14:paraId="7C91D9E2"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Any dispute arising from these Clauses shall be resolved by the courts of an EU Member State.</w:t>
            </w:r>
          </w:p>
        </w:tc>
      </w:tr>
    </w:tbl>
    <w:p w14:paraId="503F065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7"/>
        <w:gridCol w:w="8739"/>
      </w:tblGrid>
      <w:tr w:rsidR="00522EED" w:rsidRPr="00522EED" w14:paraId="7CFE92E9" w14:textId="77777777" w:rsidTr="00AB24F5">
        <w:tc>
          <w:tcPr>
            <w:tcW w:w="0" w:type="auto"/>
            <w:shd w:val="clear" w:color="auto" w:fill="auto"/>
            <w:hideMark/>
          </w:tcPr>
          <w:p w14:paraId="1CE405F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(b)</w:t>
            </w:r>
          </w:p>
        </w:tc>
        <w:tc>
          <w:tcPr>
            <w:tcW w:w="0" w:type="auto"/>
            <w:shd w:val="clear" w:color="auto" w:fill="auto"/>
            <w:hideMark/>
          </w:tcPr>
          <w:p w14:paraId="72C4A519" w14:textId="44887525"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Parties agree that those shall be the courts of </w:t>
            </w:r>
            <w:r w:rsidR="00F6590B">
              <w:rPr>
                <w:rFonts w:ascii="Arial" w:eastAsia="Times New Roman" w:hAnsi="Arial" w:cs="Arial"/>
                <w:sz w:val="20"/>
                <w:szCs w:val="20"/>
              </w:rPr>
              <w:t>the Grand-Duchy of</w:t>
            </w:r>
            <w:r w:rsidR="00F6590B" w:rsidRPr="00522EED">
              <w:rPr>
                <w:rFonts w:ascii="Arial" w:eastAsia="Times New Roman" w:hAnsi="Arial" w:cs="Arial"/>
                <w:sz w:val="20"/>
                <w:szCs w:val="20"/>
              </w:rPr>
              <w:t xml:space="preserve"> </w:t>
            </w:r>
            <w:r w:rsidR="00F664F9" w:rsidRPr="00522EED">
              <w:rPr>
                <w:rFonts w:ascii="Arial" w:eastAsia="Times New Roman" w:hAnsi="Arial" w:cs="Arial"/>
                <w:sz w:val="20"/>
                <w:szCs w:val="20"/>
              </w:rPr>
              <w:t>Luxembourg</w:t>
            </w:r>
            <w:r w:rsidRPr="00522EED">
              <w:rPr>
                <w:rFonts w:ascii="Arial" w:eastAsia="Times New Roman" w:hAnsi="Arial" w:cs="Arial"/>
                <w:sz w:val="20"/>
                <w:szCs w:val="20"/>
              </w:rPr>
              <w:t>.</w:t>
            </w:r>
          </w:p>
        </w:tc>
      </w:tr>
    </w:tbl>
    <w:p w14:paraId="4D56E4F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4"/>
        <w:gridCol w:w="8792"/>
      </w:tblGrid>
      <w:tr w:rsidR="00522EED" w:rsidRPr="00522EED" w14:paraId="76188ABD" w14:textId="77777777" w:rsidTr="00AB24F5">
        <w:tc>
          <w:tcPr>
            <w:tcW w:w="0" w:type="auto"/>
            <w:shd w:val="clear" w:color="auto" w:fill="auto"/>
            <w:hideMark/>
          </w:tcPr>
          <w:p w14:paraId="199A960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(c)</w:t>
            </w:r>
          </w:p>
        </w:tc>
        <w:tc>
          <w:tcPr>
            <w:tcW w:w="0" w:type="auto"/>
            <w:shd w:val="clear" w:color="auto" w:fill="auto"/>
            <w:hideMark/>
          </w:tcPr>
          <w:p w14:paraId="5A792F4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A data subject may also bring legal proceedings against the data exporter and/or data importer before the courts of the Member State in which he/she has his/her habitual residence.</w:t>
            </w:r>
          </w:p>
        </w:tc>
      </w:tr>
    </w:tbl>
    <w:p w14:paraId="268F78D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331"/>
        <w:gridCol w:w="8695"/>
      </w:tblGrid>
      <w:tr w:rsidR="00522EED" w:rsidRPr="00522EED" w14:paraId="073AC6AB" w14:textId="77777777" w:rsidTr="00AB24F5">
        <w:tc>
          <w:tcPr>
            <w:tcW w:w="0" w:type="auto"/>
            <w:shd w:val="clear" w:color="auto" w:fill="auto"/>
            <w:hideMark/>
          </w:tcPr>
          <w:p w14:paraId="691B6D1A"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(d)</w:t>
            </w:r>
          </w:p>
        </w:tc>
        <w:tc>
          <w:tcPr>
            <w:tcW w:w="0" w:type="auto"/>
            <w:shd w:val="clear" w:color="auto" w:fill="auto"/>
            <w:hideMark/>
          </w:tcPr>
          <w:p w14:paraId="5C35639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The Parties agree to submit themselves to the jurisdiction of such courts.</w:t>
            </w:r>
          </w:p>
        </w:tc>
      </w:tr>
    </w:tbl>
    <w:p w14:paraId="74E438AD" w14:textId="77777777" w:rsidR="00CF2DC6" w:rsidRPr="00522EED" w:rsidRDefault="00CF2DC6" w:rsidP="00522EED">
      <w:pPr>
        <w:spacing w:before="120" w:after="0" w:line="240" w:lineRule="auto"/>
        <w:jc w:val="both"/>
        <w:rPr>
          <w:rFonts w:ascii="Arial" w:eastAsia="Times New Roman" w:hAnsi="Arial" w:cs="Arial"/>
          <w:sz w:val="20"/>
          <w:szCs w:val="20"/>
        </w:rPr>
      </w:pPr>
    </w:p>
    <w:p w14:paraId="725F4BA4"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4CE5CA17"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APPENDIX</w:t>
      </w:r>
    </w:p>
    <w:p w14:paraId="2686A368" w14:textId="77777777" w:rsidR="00AB24F5" w:rsidRPr="007C0F35"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7C0F35">
        <w:rPr>
          <w:rFonts w:ascii="Arial" w:eastAsia="Times New Roman" w:hAnsi="Arial" w:cs="Arial"/>
          <w:i/>
          <w:sz w:val="20"/>
          <w:szCs w:val="20"/>
          <w:highlight w:val="lightGray"/>
        </w:rPr>
        <w:t>EXPLANATORY NOTE:</w:t>
      </w:r>
    </w:p>
    <w:p w14:paraId="16379876" w14:textId="5E42DFA2" w:rsidR="00CA0812" w:rsidRDefault="00AB24F5" w:rsidP="00522EED">
      <w:pPr>
        <w:shd w:val="clear" w:color="auto" w:fill="FFFFFF"/>
        <w:spacing w:before="120" w:after="0" w:line="240" w:lineRule="auto"/>
        <w:jc w:val="both"/>
        <w:rPr>
          <w:rFonts w:ascii="Arial" w:eastAsia="Times New Roman" w:hAnsi="Arial" w:cs="Arial"/>
          <w:i/>
          <w:sz w:val="20"/>
          <w:szCs w:val="20"/>
        </w:rPr>
      </w:pPr>
      <w:r w:rsidRPr="007C0F35">
        <w:rPr>
          <w:rFonts w:ascii="Arial" w:eastAsia="Times New Roman" w:hAnsi="Arial" w:cs="Arial"/>
          <w:i/>
          <w:sz w:val="20"/>
          <w:szCs w:val="20"/>
          <w:highlight w:val="lightGray"/>
        </w:rPr>
        <w:t xml:space="preserve">It must be possible to clearly distinguish the information applicable to each transfer or category of transfers and, in this regard, to determine the respective role(s) of the Parties as data exporter(s) and/or data importer(s). This does not necessarily require completing separate appendices for each transfer/category of transfers and/or contractual relationship, where this transparency can </w:t>
      </w:r>
      <w:proofErr w:type="gramStart"/>
      <w:r w:rsidRPr="007C0F35">
        <w:rPr>
          <w:rFonts w:ascii="Arial" w:eastAsia="Times New Roman" w:hAnsi="Arial" w:cs="Arial"/>
          <w:i/>
          <w:sz w:val="20"/>
          <w:szCs w:val="20"/>
          <w:highlight w:val="lightGray"/>
        </w:rPr>
        <w:t>achieved</w:t>
      </w:r>
      <w:proofErr w:type="gramEnd"/>
      <w:r w:rsidRPr="007C0F35">
        <w:rPr>
          <w:rFonts w:ascii="Arial" w:eastAsia="Times New Roman" w:hAnsi="Arial" w:cs="Arial"/>
          <w:i/>
          <w:sz w:val="20"/>
          <w:szCs w:val="20"/>
          <w:highlight w:val="lightGray"/>
        </w:rPr>
        <w:t xml:space="preserve"> through one appendix. However, where necessary to ensure sufficient clarity, separate appendices should be used.</w:t>
      </w:r>
    </w:p>
    <w:p w14:paraId="6DE0ABE0" w14:textId="77777777" w:rsidR="00AB24F5" w:rsidRPr="007C0F35" w:rsidRDefault="00CA0812" w:rsidP="00522EED">
      <w:pPr>
        <w:shd w:val="clear" w:color="auto" w:fill="FFFFFF"/>
        <w:spacing w:before="120" w:after="0" w:line="240" w:lineRule="auto"/>
        <w:jc w:val="both"/>
        <w:rPr>
          <w:rFonts w:ascii="Arial" w:eastAsia="Times New Roman" w:hAnsi="Arial" w:cs="Arial"/>
          <w:i/>
          <w:sz w:val="20"/>
          <w:szCs w:val="20"/>
        </w:rPr>
      </w:pPr>
      <w:r w:rsidRPr="00CA0812">
        <w:rPr>
          <w:rFonts w:ascii="Arial" w:eastAsia="Times New Roman" w:hAnsi="Arial" w:cs="Arial"/>
          <w:i/>
          <w:sz w:val="20"/>
          <w:szCs w:val="20"/>
          <w:highlight w:val="lightGray"/>
        </w:rPr>
        <w:t>This Appendix consists of Annexes I, II and III and thus this page should be left blank</w:t>
      </w:r>
      <w:r>
        <w:rPr>
          <w:rFonts w:ascii="Arial" w:eastAsia="Times New Roman" w:hAnsi="Arial" w:cs="Arial"/>
          <w:i/>
          <w:sz w:val="20"/>
          <w:szCs w:val="20"/>
          <w:highlight w:val="lightGray"/>
        </w:rPr>
        <w:t xml:space="preserve">. The above explanatory note concerns instructions on how to complete said Annexes. </w:t>
      </w:r>
    </w:p>
    <w:p w14:paraId="5F2E9560"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19257E63"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w:t>
      </w:r>
    </w:p>
    <w:p w14:paraId="4E6E4EC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A.   LIST OF PARTIES</w:t>
      </w:r>
    </w:p>
    <w:p w14:paraId="78D094E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4ECA094" w14:textId="6BD3868C"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exporter(s):</w:t>
      </w:r>
      <w:r w:rsidR="00506A0B" w:rsidRPr="00506A0B">
        <w:rPr>
          <w:rStyle w:val="FootnoteReference"/>
          <w:rFonts w:ascii="Arial" w:eastAsia="Times New Roman" w:hAnsi="Arial" w:cs="Arial"/>
          <w:b/>
          <w:bCs/>
          <w:sz w:val="20"/>
          <w:szCs w:val="20"/>
          <w:highlight w:val="darkGray"/>
        </w:rPr>
        <w:footnoteReference w:id="7"/>
      </w:r>
      <w:r w:rsidRPr="00522EED">
        <w:rPr>
          <w:rFonts w:ascii="Arial" w:eastAsia="Times New Roman" w:hAnsi="Arial" w:cs="Arial"/>
          <w:sz w:val="20"/>
          <w:szCs w:val="20"/>
        </w:rPr>
        <w:t>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6A3232C0" w14:textId="77777777" w:rsidTr="00AB24F5">
        <w:tc>
          <w:tcPr>
            <w:tcW w:w="0" w:type="auto"/>
            <w:shd w:val="clear" w:color="auto" w:fill="auto"/>
            <w:hideMark/>
          </w:tcPr>
          <w:p w14:paraId="34D93EFC" w14:textId="77777777" w:rsidR="00AB24F5" w:rsidRPr="00522EED" w:rsidRDefault="00AB24F5" w:rsidP="00522EED">
            <w:pPr>
              <w:spacing w:before="120" w:after="0" w:line="240" w:lineRule="auto"/>
              <w:jc w:val="both"/>
              <w:rPr>
                <w:rFonts w:ascii="Arial" w:eastAsia="Times New Roman" w:hAnsi="Arial" w:cs="Arial"/>
                <w:sz w:val="20"/>
                <w:szCs w:val="20"/>
              </w:rPr>
            </w:pPr>
            <w:bookmarkStart w:id="0" w:name="_Hlk135921637"/>
          </w:p>
        </w:tc>
        <w:tc>
          <w:tcPr>
            <w:tcW w:w="0" w:type="auto"/>
            <w:shd w:val="clear" w:color="auto" w:fill="auto"/>
            <w:hideMark/>
          </w:tcPr>
          <w:p w14:paraId="0D520EB6"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shd w:val="clear" w:color="auto" w:fill="auto"/>
            <w:hideMark/>
          </w:tcPr>
          <w:p w14:paraId="200B0255"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00CF2DC6" w:rsidRPr="00522EED">
              <w:rPr>
                <w:rFonts w:ascii="Arial" w:eastAsia="Times New Roman" w:hAnsi="Arial" w:cs="Arial"/>
                <w:sz w:val="20"/>
                <w:szCs w:val="20"/>
              </w:rPr>
              <w:t>European Investment Bank</w:t>
            </w:r>
          </w:p>
          <w:p w14:paraId="616542C8"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bookmarkStart w:id="1" w:name="_Hlk135921702"/>
            <w:r w:rsidR="00CF2DC6" w:rsidRPr="00522EED">
              <w:rPr>
                <w:rFonts w:ascii="Arial" w:eastAsia="Times New Roman" w:hAnsi="Arial" w:cs="Arial"/>
                <w:sz w:val="20"/>
                <w:szCs w:val="20"/>
              </w:rPr>
              <w:t>98-100, boulevard Konrad Adenauer, L-2950 Luxembourg</w:t>
            </w:r>
          </w:p>
          <w:bookmarkEnd w:id="1"/>
          <w:p w14:paraId="04BFCC93" w14:textId="097AB0EB"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w:t>
            </w:r>
            <w:proofErr w:type="gramStart"/>
            <w:r w:rsidRPr="00522EED">
              <w:rPr>
                <w:rFonts w:ascii="Arial" w:eastAsia="Times New Roman" w:hAnsi="Arial" w:cs="Arial"/>
                <w:sz w:val="20"/>
                <w:szCs w:val="20"/>
              </w:rPr>
              <w:t>position</w:t>
            </w:r>
            <w:proofErr w:type="gramEnd"/>
            <w:r w:rsidRPr="00522EED">
              <w:rPr>
                <w:rFonts w:ascii="Arial" w:eastAsia="Times New Roman" w:hAnsi="Arial" w:cs="Arial"/>
                <w:sz w:val="20"/>
                <w:szCs w:val="20"/>
              </w:rPr>
              <w:t xml:space="preserve"> and contact details: </w:t>
            </w:r>
            <w:r w:rsidR="00395047">
              <w:rPr>
                <w:rFonts w:ascii="Arial" w:eastAsia="Times New Roman" w:hAnsi="Arial" w:cs="Arial"/>
                <w:sz w:val="20"/>
                <w:szCs w:val="20"/>
              </w:rPr>
              <w:t>Director, EIB Global</w:t>
            </w:r>
          </w:p>
          <w:p w14:paraId="266D497B" w14:textId="646EB56E"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Activities relevant to the data transferred under these Clauses: </w:t>
            </w:r>
            <w:r w:rsidR="00FD1FDB">
              <w:rPr>
                <w:rFonts w:ascii="Arial" w:eastAsia="Times New Roman" w:hAnsi="Arial" w:cs="Arial"/>
                <w:sz w:val="20"/>
                <w:szCs w:val="20"/>
              </w:rPr>
              <w:t>“</w:t>
            </w:r>
            <w:r w:rsidR="00152B83" w:rsidRPr="00152B83">
              <w:rPr>
                <w:rFonts w:ascii="Arial" w:eastAsia="Times New Roman" w:hAnsi="Arial" w:cs="Arial"/>
                <w:b/>
                <w:bCs/>
                <w:i/>
                <w:iCs/>
                <w:sz w:val="20"/>
                <w:szCs w:val="20"/>
              </w:rPr>
              <w:t>AA-010864-002</w:t>
            </w:r>
            <w:r w:rsidR="00152B83" w:rsidRPr="00152B83">
              <w:rPr>
                <w:rFonts w:ascii="Arial" w:eastAsia="Times New Roman" w:hAnsi="Arial" w:cs="Arial"/>
                <w:i/>
                <w:iCs/>
                <w:sz w:val="20"/>
                <w:szCs w:val="20"/>
              </w:rPr>
              <w:t xml:space="preserve"> </w:t>
            </w:r>
            <w:r w:rsidR="00152B83" w:rsidRPr="00152B83">
              <w:rPr>
                <w:rFonts w:ascii="Arial" w:eastAsia="Times New Roman" w:hAnsi="Arial" w:cs="Arial"/>
                <w:b/>
                <w:bCs/>
                <w:i/>
                <w:iCs/>
                <w:sz w:val="20"/>
                <w:szCs w:val="20"/>
              </w:rPr>
              <w:t xml:space="preserve">- </w:t>
            </w:r>
            <w:r w:rsidR="00FD1FDB" w:rsidRPr="00152B83">
              <w:rPr>
                <w:rFonts w:ascii="Arial" w:eastAsia="Times New Roman" w:hAnsi="Arial" w:cs="Arial"/>
                <w:b/>
                <w:bCs/>
                <w:i/>
                <w:iCs/>
                <w:sz w:val="20"/>
                <w:szCs w:val="20"/>
              </w:rPr>
              <w:t>Technical Assistance for Offshore Wind Feasibility Study in Morocco</w:t>
            </w:r>
            <w:r w:rsidR="00FD1FDB" w:rsidRPr="00152B83">
              <w:rPr>
                <w:rFonts w:ascii="Arial" w:eastAsia="Times New Roman" w:hAnsi="Arial" w:cs="Arial"/>
                <w:sz w:val="20"/>
                <w:szCs w:val="20"/>
              </w:rPr>
              <w:t>”, as described in Annex</w:t>
            </w:r>
            <w:r w:rsidR="00152B83">
              <w:rPr>
                <w:rFonts w:ascii="Arial" w:eastAsia="Times New Roman" w:hAnsi="Arial" w:cs="Arial"/>
                <w:sz w:val="20"/>
                <w:szCs w:val="20"/>
              </w:rPr>
              <w:t> </w:t>
            </w:r>
            <w:r w:rsidR="00FD1FDB" w:rsidRPr="00152B83">
              <w:rPr>
                <w:rFonts w:ascii="Arial" w:eastAsia="Times New Roman" w:hAnsi="Arial" w:cs="Arial"/>
                <w:sz w:val="20"/>
                <w:szCs w:val="20"/>
              </w:rPr>
              <w:t xml:space="preserve">II (Terms of reference) of the present </w:t>
            </w:r>
            <w:proofErr w:type="gramStart"/>
            <w:r w:rsidR="00FD1FDB" w:rsidRPr="00152B83">
              <w:rPr>
                <w:rFonts w:ascii="Arial" w:eastAsia="Times New Roman" w:hAnsi="Arial" w:cs="Arial"/>
                <w:sz w:val="20"/>
                <w:szCs w:val="20"/>
              </w:rPr>
              <w:t>contract</w:t>
            </w:r>
            <w:proofErr w:type="gramEnd"/>
          </w:p>
          <w:p w14:paraId="49A8C248" w14:textId="77777777" w:rsidR="00AB24F5" w:rsidRPr="00522EED" w:rsidRDefault="00AB24F5" w:rsidP="003A48D0">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w:t>
            </w:r>
            <w:r w:rsidR="00CF2DC6" w:rsidRPr="00522EED">
              <w:rPr>
                <w:rFonts w:ascii="Arial" w:eastAsia="Times New Roman" w:hAnsi="Arial" w:cs="Arial"/>
                <w:sz w:val="20"/>
                <w:szCs w:val="20"/>
              </w:rPr>
              <w:t>Controller</w:t>
            </w:r>
          </w:p>
        </w:tc>
      </w:tr>
      <w:bookmarkEnd w:id="0"/>
    </w:tbl>
    <w:p w14:paraId="22D1CD7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p w14:paraId="6D6111D3" w14:textId="462DB81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b/>
          <w:bCs/>
          <w:sz w:val="20"/>
          <w:szCs w:val="20"/>
        </w:rPr>
        <w:t>Data importer(s):</w:t>
      </w:r>
      <w:r w:rsidRPr="00522EED">
        <w:rPr>
          <w:rFonts w:ascii="Arial" w:eastAsia="Times New Roman" w:hAnsi="Arial" w:cs="Arial"/>
          <w:sz w:val="20"/>
          <w:szCs w:val="20"/>
        </w:rPr>
        <w:t> </w:t>
      </w:r>
      <w:r w:rsidRPr="003A48D0">
        <w:rPr>
          <w:rFonts w:ascii="Arial" w:eastAsia="Times New Roman" w:hAnsi="Arial" w:cs="Arial"/>
          <w:sz w:val="20"/>
          <w:szCs w:val="20"/>
          <w:highlight w:val="lightGray"/>
        </w:rPr>
        <w:t>[</w:t>
      </w:r>
      <w:r w:rsidRPr="003A48D0">
        <w:rPr>
          <w:rFonts w:ascii="Arial" w:eastAsia="Times New Roman" w:hAnsi="Arial" w:cs="Arial"/>
          <w:i/>
          <w:iCs/>
          <w:sz w:val="20"/>
          <w:szCs w:val="20"/>
          <w:highlight w:val="lightGray"/>
        </w:rPr>
        <w:t>Identity and contact details of the data importer(s), including any contact person with responsibility for data protection</w:t>
      </w:r>
      <w:r w:rsidR="00506A0B">
        <w:rPr>
          <w:rStyle w:val="FootnoteReference"/>
          <w:rFonts w:ascii="Arial" w:eastAsia="Times New Roman" w:hAnsi="Arial" w:cs="Arial"/>
          <w:i/>
          <w:iCs/>
          <w:sz w:val="20"/>
          <w:szCs w:val="20"/>
          <w:highlight w:val="lightGray"/>
        </w:rPr>
        <w:footnoteReference w:id="8"/>
      </w:r>
      <w:r w:rsidRPr="003A48D0">
        <w:rPr>
          <w:rFonts w:ascii="Arial" w:eastAsia="Times New Roman" w:hAnsi="Arial" w:cs="Arial"/>
          <w:i/>
          <w:iCs/>
          <w:sz w:val="20"/>
          <w:szCs w:val="20"/>
          <w:highlight w:val="lightGray"/>
        </w:rPr>
        <w:t>]</w:t>
      </w:r>
    </w:p>
    <w:tbl>
      <w:tblPr>
        <w:tblW w:w="5000" w:type="pct"/>
        <w:tblCellMar>
          <w:left w:w="0" w:type="dxa"/>
          <w:right w:w="0" w:type="dxa"/>
        </w:tblCellMar>
        <w:tblLook w:val="04A0" w:firstRow="1" w:lastRow="0" w:firstColumn="1" w:lastColumn="0" w:noHBand="0" w:noVBand="1"/>
      </w:tblPr>
      <w:tblGrid>
        <w:gridCol w:w="9"/>
        <w:gridCol w:w="253"/>
        <w:gridCol w:w="8764"/>
      </w:tblGrid>
      <w:tr w:rsidR="00522EED" w:rsidRPr="00522EED" w14:paraId="70C29A65" w14:textId="77777777" w:rsidTr="00AB24F5">
        <w:tc>
          <w:tcPr>
            <w:tcW w:w="0" w:type="auto"/>
            <w:shd w:val="clear" w:color="auto" w:fill="auto"/>
            <w:hideMark/>
          </w:tcPr>
          <w:p w14:paraId="3FF5C57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shd w:val="clear" w:color="auto" w:fill="auto"/>
            <w:hideMark/>
          </w:tcPr>
          <w:p w14:paraId="52A60D5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shd w:val="clear" w:color="auto" w:fill="auto"/>
            <w:hideMark/>
          </w:tcPr>
          <w:p w14:paraId="475BE1D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Pr="003A48D0">
              <w:rPr>
                <w:rFonts w:ascii="Arial" w:eastAsia="Times New Roman" w:hAnsi="Arial" w:cs="Arial"/>
                <w:sz w:val="20"/>
                <w:szCs w:val="20"/>
                <w:highlight w:val="yellow"/>
              </w:rPr>
              <w:t>…</w:t>
            </w:r>
          </w:p>
          <w:p w14:paraId="2AF4816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Pr="003A48D0">
              <w:rPr>
                <w:rFonts w:ascii="Arial" w:eastAsia="Times New Roman" w:hAnsi="Arial" w:cs="Arial"/>
                <w:sz w:val="20"/>
                <w:szCs w:val="20"/>
                <w:highlight w:val="yellow"/>
              </w:rPr>
              <w:t>…</w:t>
            </w:r>
          </w:p>
          <w:p w14:paraId="0115F789"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w:t>
            </w:r>
            <w:proofErr w:type="gramStart"/>
            <w:r w:rsidRPr="00522EED">
              <w:rPr>
                <w:rFonts w:ascii="Arial" w:eastAsia="Times New Roman" w:hAnsi="Arial" w:cs="Arial"/>
                <w:sz w:val="20"/>
                <w:szCs w:val="20"/>
              </w:rPr>
              <w:t>position</w:t>
            </w:r>
            <w:proofErr w:type="gramEnd"/>
            <w:r w:rsidRPr="00522EED">
              <w:rPr>
                <w:rFonts w:ascii="Arial" w:eastAsia="Times New Roman" w:hAnsi="Arial" w:cs="Arial"/>
                <w:sz w:val="20"/>
                <w:szCs w:val="20"/>
              </w:rPr>
              <w:t xml:space="preserve"> and contact details: </w:t>
            </w:r>
            <w:r w:rsidRPr="003A48D0">
              <w:rPr>
                <w:rFonts w:ascii="Arial" w:eastAsia="Times New Roman" w:hAnsi="Arial" w:cs="Arial"/>
                <w:sz w:val="20"/>
                <w:szCs w:val="20"/>
                <w:highlight w:val="yellow"/>
              </w:rPr>
              <w:t>…</w:t>
            </w:r>
          </w:p>
          <w:p w14:paraId="42C5FA7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Activities relevant to the data transferred under these Clauses: </w:t>
            </w:r>
            <w:r w:rsidRPr="003A48D0">
              <w:rPr>
                <w:rFonts w:ascii="Arial" w:eastAsia="Times New Roman" w:hAnsi="Arial" w:cs="Arial"/>
                <w:sz w:val="20"/>
                <w:szCs w:val="20"/>
                <w:highlight w:val="yellow"/>
              </w:rPr>
              <w:t>…</w:t>
            </w:r>
          </w:p>
          <w:p w14:paraId="7D779CA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Role (controller/processor): </w:t>
            </w:r>
            <w:r w:rsidR="00CF2DC6" w:rsidRPr="00522EED">
              <w:rPr>
                <w:rFonts w:ascii="Arial" w:eastAsia="Times New Roman" w:hAnsi="Arial" w:cs="Arial"/>
                <w:sz w:val="20"/>
                <w:szCs w:val="20"/>
              </w:rPr>
              <w:t>Processor</w:t>
            </w:r>
          </w:p>
        </w:tc>
      </w:tr>
    </w:tbl>
    <w:p w14:paraId="74AA172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3231" w:type="pct"/>
        <w:tblCellMar>
          <w:left w:w="0" w:type="dxa"/>
          <w:right w:w="0" w:type="dxa"/>
        </w:tblCellMar>
        <w:tblLook w:val="04A0" w:firstRow="1" w:lastRow="0" w:firstColumn="1" w:lastColumn="0" w:noHBand="0" w:noVBand="1"/>
      </w:tblPr>
      <w:tblGrid>
        <w:gridCol w:w="145"/>
        <w:gridCol w:w="848"/>
        <w:gridCol w:w="4840"/>
      </w:tblGrid>
      <w:tr w:rsidR="00522EED" w:rsidRPr="00522EED" w14:paraId="0D2377D2" w14:textId="77777777" w:rsidTr="003A48D0">
        <w:tc>
          <w:tcPr>
            <w:tcW w:w="0" w:type="auto"/>
            <w:shd w:val="clear" w:color="auto" w:fill="auto"/>
            <w:hideMark/>
          </w:tcPr>
          <w:p w14:paraId="3C46A30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727" w:type="pct"/>
            <w:shd w:val="clear" w:color="auto" w:fill="auto"/>
            <w:hideMark/>
          </w:tcPr>
          <w:p w14:paraId="7CEA4E56"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2.</w:t>
            </w:r>
          </w:p>
        </w:tc>
        <w:tc>
          <w:tcPr>
            <w:tcW w:w="0" w:type="auto"/>
            <w:shd w:val="clear" w:color="auto" w:fill="auto"/>
            <w:hideMark/>
          </w:tcPr>
          <w:p w14:paraId="43CC3BEB"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sidRPr="003A48D0">
              <w:rPr>
                <w:rFonts w:ascii="Arial" w:eastAsia="Times New Roman" w:hAnsi="Arial" w:cs="Arial"/>
                <w:sz w:val="20"/>
                <w:szCs w:val="20"/>
                <w:highlight w:val="yellow"/>
              </w:rPr>
              <w:t>…</w:t>
            </w:r>
          </w:p>
        </w:tc>
      </w:tr>
    </w:tbl>
    <w:p w14:paraId="24B877C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B.   DESCRIPTION OF TRANSFER</w:t>
      </w:r>
    </w:p>
    <w:p w14:paraId="53D7C184"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727D5F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data subjects whose personal data is transferred</w:t>
      </w:r>
      <w:r w:rsidR="00B51A41" w:rsidRPr="00522EED">
        <w:rPr>
          <w:rFonts w:ascii="Arial" w:eastAsia="Times New Roman" w:hAnsi="Arial" w:cs="Arial"/>
          <w:i/>
          <w:iCs/>
          <w:sz w:val="20"/>
          <w:szCs w:val="20"/>
        </w:rPr>
        <w:t>:</w:t>
      </w:r>
    </w:p>
    <w:p w14:paraId="6E477B74" w14:textId="46709DF1"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 xml:space="preserve">EIB staff involved in the implementation of the Technical Assistance, staff of the promoters/beneficiaries involved in the implementation of the Technical Assistance and the </w:t>
      </w:r>
      <w:proofErr w:type="gramStart"/>
      <w:r w:rsidRPr="00152B83">
        <w:rPr>
          <w:color w:val="000000"/>
          <w:sz w:val="27"/>
          <w:szCs w:val="27"/>
          <w:lang w:val="en-GB"/>
        </w:rPr>
        <w:t>project</w:t>
      </w:r>
      <w:proofErr w:type="gramEnd"/>
    </w:p>
    <w:p w14:paraId="4758097A"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Categories of personal data transferred</w:t>
      </w:r>
      <w:r w:rsidR="00B51A41" w:rsidRPr="00522EED">
        <w:rPr>
          <w:rFonts w:ascii="Arial" w:eastAsia="Times New Roman" w:hAnsi="Arial" w:cs="Arial"/>
          <w:i/>
          <w:iCs/>
          <w:sz w:val="20"/>
          <w:szCs w:val="20"/>
        </w:rPr>
        <w:t>:</w:t>
      </w:r>
    </w:p>
    <w:p w14:paraId="17705C5F" w14:textId="397E6371"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 xml:space="preserve">Surnames, first names, contact details (e-mail addresses, telephone numbers), professional role of EIB staff involved in the implementation of Technical Assistance, staff of promoters/beneficiaries involved in the implementation of Technical Assistance and the </w:t>
      </w:r>
      <w:proofErr w:type="gramStart"/>
      <w:r w:rsidRPr="00152B83">
        <w:rPr>
          <w:color w:val="000000"/>
          <w:sz w:val="27"/>
          <w:szCs w:val="27"/>
          <w:lang w:val="en-GB"/>
        </w:rPr>
        <w:t>project</w:t>
      </w:r>
      <w:proofErr w:type="gramEnd"/>
    </w:p>
    <w:p w14:paraId="4C94743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 xml:space="preserve">Sensitive data transferred (if applicable) and applied restrictions or safeguards that fully take into consideration the nature of the data and the risks involved, such as for instance strict purpose limitation, </w:t>
      </w:r>
      <w:r w:rsidRPr="00522EED">
        <w:rPr>
          <w:rFonts w:ascii="Arial" w:eastAsia="Times New Roman" w:hAnsi="Arial" w:cs="Arial"/>
          <w:i/>
          <w:iCs/>
          <w:sz w:val="20"/>
          <w:szCs w:val="20"/>
        </w:rPr>
        <w:lastRenderedPageBreak/>
        <w:t xml:space="preserve">access restrictions (including access only for staff having followed </w:t>
      </w:r>
      <w:proofErr w:type="spellStart"/>
      <w:r w:rsidRPr="00522EED">
        <w:rPr>
          <w:rFonts w:ascii="Arial" w:eastAsia="Times New Roman" w:hAnsi="Arial" w:cs="Arial"/>
          <w:i/>
          <w:iCs/>
          <w:sz w:val="20"/>
          <w:szCs w:val="20"/>
        </w:rPr>
        <w:t>specialised</w:t>
      </w:r>
      <w:proofErr w:type="spellEnd"/>
      <w:r w:rsidRPr="00522EED">
        <w:rPr>
          <w:rFonts w:ascii="Arial" w:eastAsia="Times New Roman" w:hAnsi="Arial" w:cs="Arial"/>
          <w:i/>
          <w:iCs/>
          <w:sz w:val="20"/>
          <w:szCs w:val="20"/>
        </w:rPr>
        <w:t xml:space="preserve"> training), keeping a record of access to the data, restrictions for onward transfers or additional secu</w:t>
      </w:r>
      <w:r w:rsidR="00B51A41" w:rsidRPr="00522EED">
        <w:rPr>
          <w:rFonts w:ascii="Arial" w:eastAsia="Times New Roman" w:hAnsi="Arial" w:cs="Arial"/>
          <w:i/>
          <w:iCs/>
          <w:sz w:val="20"/>
          <w:szCs w:val="20"/>
        </w:rPr>
        <w:t>rity measures:</w:t>
      </w:r>
    </w:p>
    <w:p w14:paraId="763A40CF" w14:textId="6083A505"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 xml:space="preserve">No sensitive data </w:t>
      </w:r>
      <w:proofErr w:type="gramStart"/>
      <w:r w:rsidRPr="00152B83">
        <w:rPr>
          <w:color w:val="000000"/>
          <w:sz w:val="27"/>
          <w:szCs w:val="27"/>
          <w:lang w:val="en-GB"/>
        </w:rPr>
        <w:t>transferred</w:t>
      </w:r>
      <w:proofErr w:type="gramEnd"/>
    </w:p>
    <w:p w14:paraId="33D52A3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frequency of the transfer (</w:t>
      </w:r>
      <w:proofErr w:type="gramStart"/>
      <w:r w:rsidRPr="00522EED">
        <w:rPr>
          <w:rFonts w:ascii="Arial" w:eastAsia="Times New Roman" w:hAnsi="Arial" w:cs="Arial"/>
          <w:i/>
          <w:iCs/>
          <w:sz w:val="20"/>
          <w:szCs w:val="20"/>
        </w:rPr>
        <w:t>e.g.</w:t>
      </w:r>
      <w:proofErr w:type="gramEnd"/>
      <w:r w:rsidRPr="00522EED">
        <w:rPr>
          <w:rFonts w:ascii="Arial" w:eastAsia="Times New Roman" w:hAnsi="Arial" w:cs="Arial"/>
          <w:i/>
          <w:iCs/>
          <w:sz w:val="20"/>
          <w:szCs w:val="20"/>
        </w:rPr>
        <w:t xml:space="preserve"> whether the data is transferred on</w:t>
      </w:r>
      <w:r w:rsidR="00B51A41" w:rsidRPr="00522EED">
        <w:rPr>
          <w:rFonts w:ascii="Arial" w:eastAsia="Times New Roman" w:hAnsi="Arial" w:cs="Arial"/>
          <w:i/>
          <w:iCs/>
          <w:sz w:val="20"/>
          <w:szCs w:val="20"/>
        </w:rPr>
        <w:t xml:space="preserve"> a one-off or continuous basis):</w:t>
      </w:r>
    </w:p>
    <w:p w14:paraId="13C0E10A" w14:textId="10B5D145"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On a continuous basis throughout the period of execution of the Technical Assistance</w:t>
      </w:r>
    </w:p>
    <w:p w14:paraId="6985EF6F" w14:textId="77777777" w:rsidR="00AB24F5" w:rsidRPr="00152B83" w:rsidRDefault="00AB24F5" w:rsidP="00522EED">
      <w:pPr>
        <w:shd w:val="clear" w:color="auto" w:fill="FFFFFF"/>
        <w:spacing w:before="120" w:after="0" w:line="240" w:lineRule="auto"/>
        <w:jc w:val="both"/>
        <w:rPr>
          <w:rFonts w:ascii="Arial" w:eastAsia="Times New Roman" w:hAnsi="Arial" w:cs="Arial"/>
          <w:sz w:val="20"/>
          <w:szCs w:val="20"/>
          <w:lang w:val="fr-BE"/>
        </w:rPr>
      </w:pPr>
      <w:r w:rsidRPr="00152B83">
        <w:rPr>
          <w:rFonts w:ascii="Arial" w:eastAsia="Times New Roman" w:hAnsi="Arial" w:cs="Arial"/>
          <w:i/>
          <w:iCs/>
          <w:sz w:val="20"/>
          <w:szCs w:val="20"/>
          <w:lang w:val="fr-BE"/>
        </w:rPr>
        <w:t xml:space="preserve">Nature of the </w:t>
      </w:r>
      <w:proofErr w:type="spellStart"/>
      <w:proofErr w:type="gramStart"/>
      <w:r w:rsidRPr="00152B83">
        <w:rPr>
          <w:rFonts w:ascii="Arial" w:eastAsia="Times New Roman" w:hAnsi="Arial" w:cs="Arial"/>
          <w:i/>
          <w:iCs/>
          <w:sz w:val="20"/>
          <w:szCs w:val="20"/>
          <w:lang w:val="fr-BE"/>
        </w:rPr>
        <w:t>processing</w:t>
      </w:r>
      <w:proofErr w:type="spellEnd"/>
      <w:r w:rsidR="00B51A41" w:rsidRPr="00152B83">
        <w:rPr>
          <w:rFonts w:ascii="Arial" w:eastAsia="Times New Roman" w:hAnsi="Arial" w:cs="Arial"/>
          <w:i/>
          <w:iCs/>
          <w:sz w:val="20"/>
          <w:szCs w:val="20"/>
          <w:lang w:val="fr-BE"/>
        </w:rPr>
        <w:t>:</w:t>
      </w:r>
      <w:proofErr w:type="gramEnd"/>
    </w:p>
    <w:p w14:paraId="523F5502" w14:textId="2B5D74FB" w:rsidR="00AB24F5" w:rsidRPr="00152B83" w:rsidRDefault="00152B83" w:rsidP="00522EED">
      <w:pPr>
        <w:shd w:val="clear" w:color="auto" w:fill="FFFFFF"/>
        <w:spacing w:before="120" w:after="0" w:line="240" w:lineRule="auto"/>
        <w:jc w:val="both"/>
        <w:rPr>
          <w:rFonts w:ascii="Arial" w:eastAsia="Times New Roman" w:hAnsi="Arial" w:cs="Arial"/>
          <w:sz w:val="20"/>
          <w:szCs w:val="20"/>
          <w:highlight w:val="cyan"/>
          <w:lang w:val="en-GB"/>
        </w:rPr>
      </w:pPr>
      <w:r w:rsidRPr="00152B83">
        <w:rPr>
          <w:color w:val="000000"/>
          <w:sz w:val="27"/>
          <w:szCs w:val="27"/>
          <w:lang w:val="en-GB"/>
        </w:rPr>
        <w:t xml:space="preserve">The collection, storage, archiving and erasure of personal data related to the Technical Assistance activities described in this contract ‘Technical Assistance for Offshore Wind Feasibility Study in Morocco’, as described in Annex II (Terms of Reference) to this </w:t>
      </w:r>
      <w:proofErr w:type="gramStart"/>
      <w:r w:rsidRPr="00152B83">
        <w:rPr>
          <w:color w:val="000000"/>
          <w:sz w:val="27"/>
          <w:szCs w:val="27"/>
          <w:lang w:val="en-GB"/>
        </w:rPr>
        <w:t>contract</w:t>
      </w:r>
      <w:proofErr w:type="gramEnd"/>
    </w:p>
    <w:p w14:paraId="62AD05D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Purpose(s) of the data transfer and further processing</w:t>
      </w:r>
      <w:r w:rsidR="00B51A41" w:rsidRPr="00522EED">
        <w:rPr>
          <w:rFonts w:ascii="Arial" w:eastAsia="Times New Roman" w:hAnsi="Arial" w:cs="Arial"/>
          <w:i/>
          <w:iCs/>
          <w:sz w:val="20"/>
          <w:szCs w:val="20"/>
        </w:rPr>
        <w:t>:</w:t>
      </w:r>
    </w:p>
    <w:p w14:paraId="22C5FA53" w14:textId="13046509" w:rsidR="00AB24F5" w:rsidRPr="00152B83" w:rsidRDefault="00152B83" w:rsidP="00522EED">
      <w:pPr>
        <w:shd w:val="clear" w:color="auto" w:fill="FFFFFF"/>
        <w:spacing w:before="120" w:after="0" w:line="240" w:lineRule="auto"/>
        <w:jc w:val="both"/>
        <w:rPr>
          <w:rFonts w:ascii="Arial" w:eastAsia="Times New Roman" w:hAnsi="Arial" w:cs="Arial"/>
          <w:sz w:val="20"/>
          <w:szCs w:val="20"/>
          <w:highlight w:val="cyan"/>
          <w:lang w:val="en-GB"/>
        </w:rPr>
      </w:pPr>
      <w:r w:rsidRPr="00152B83">
        <w:rPr>
          <w:color w:val="000000"/>
          <w:sz w:val="27"/>
          <w:szCs w:val="27"/>
          <w:lang w:val="en-GB"/>
        </w:rPr>
        <w:t xml:space="preserve">The purpose of the data transfer is to support the EIB in providing Technical Assistance for Offshore Wind Feasibility Study in Morocco, as described in Annex II (Terms of Reference) to this </w:t>
      </w:r>
      <w:proofErr w:type="gramStart"/>
      <w:r w:rsidRPr="00152B83">
        <w:rPr>
          <w:color w:val="000000"/>
          <w:sz w:val="27"/>
          <w:szCs w:val="27"/>
          <w:lang w:val="en-GB"/>
        </w:rPr>
        <w:t>contract</w:t>
      </w:r>
      <w:proofErr w:type="gramEnd"/>
    </w:p>
    <w:p w14:paraId="2021073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The period for which the personal data will be retained, or, if that is not possible, the criteria used to determine that period</w:t>
      </w:r>
      <w:r w:rsidR="00B51A41" w:rsidRPr="00522EED">
        <w:rPr>
          <w:rFonts w:ascii="Arial" w:eastAsia="Times New Roman" w:hAnsi="Arial" w:cs="Arial"/>
          <w:i/>
          <w:iCs/>
          <w:sz w:val="20"/>
          <w:szCs w:val="20"/>
        </w:rPr>
        <w:t>:</w:t>
      </w:r>
    </w:p>
    <w:p w14:paraId="2E1F74C5" w14:textId="1EA49F35"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Personal data shall be kept for a period of 5</w:t>
      </w:r>
      <w:r>
        <w:rPr>
          <w:color w:val="000000"/>
          <w:sz w:val="27"/>
          <w:szCs w:val="27"/>
          <w:lang w:val="en-GB"/>
        </w:rPr>
        <w:t> </w:t>
      </w:r>
      <w:r w:rsidRPr="00152B83">
        <w:rPr>
          <w:color w:val="000000"/>
          <w:sz w:val="27"/>
          <w:szCs w:val="27"/>
          <w:lang w:val="en-GB"/>
        </w:rPr>
        <w:t xml:space="preserve">years after completion of the </w:t>
      </w:r>
      <w:proofErr w:type="gramStart"/>
      <w:r w:rsidRPr="00152B83">
        <w:rPr>
          <w:color w:val="000000"/>
          <w:sz w:val="27"/>
          <w:szCs w:val="27"/>
          <w:lang w:val="en-GB"/>
        </w:rPr>
        <w:t>assignment</w:t>
      </w:r>
      <w:proofErr w:type="gramEnd"/>
    </w:p>
    <w:p w14:paraId="07CF799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rPr>
        <w:t xml:space="preserve">For transfers to (sub-) processors, also specify subject matter, </w:t>
      </w:r>
      <w:proofErr w:type="gramStart"/>
      <w:r w:rsidRPr="00522EED">
        <w:rPr>
          <w:rFonts w:ascii="Arial" w:eastAsia="Times New Roman" w:hAnsi="Arial" w:cs="Arial"/>
          <w:i/>
          <w:iCs/>
          <w:sz w:val="20"/>
          <w:szCs w:val="20"/>
        </w:rPr>
        <w:t>nature</w:t>
      </w:r>
      <w:proofErr w:type="gramEnd"/>
      <w:r w:rsidRPr="00522EED">
        <w:rPr>
          <w:rFonts w:ascii="Arial" w:eastAsia="Times New Roman" w:hAnsi="Arial" w:cs="Arial"/>
          <w:i/>
          <w:iCs/>
          <w:sz w:val="20"/>
          <w:szCs w:val="20"/>
        </w:rPr>
        <w:t xml:space="preserve"> and duration of the processing</w:t>
      </w:r>
      <w:r w:rsidR="00B51A41" w:rsidRPr="00522EED">
        <w:rPr>
          <w:rFonts w:ascii="Arial" w:eastAsia="Times New Roman" w:hAnsi="Arial" w:cs="Arial"/>
          <w:i/>
          <w:iCs/>
          <w:sz w:val="20"/>
          <w:szCs w:val="20"/>
        </w:rPr>
        <w:t>:</w:t>
      </w:r>
    </w:p>
    <w:p w14:paraId="3D786F65" w14:textId="0B995958" w:rsidR="00AB24F5" w:rsidRPr="00152B83" w:rsidRDefault="00152B83" w:rsidP="00522EED">
      <w:pPr>
        <w:shd w:val="clear" w:color="auto" w:fill="FFFFFF"/>
        <w:spacing w:before="120" w:after="0" w:line="240" w:lineRule="auto"/>
        <w:jc w:val="both"/>
        <w:rPr>
          <w:rFonts w:ascii="Arial" w:eastAsia="Times New Roman" w:hAnsi="Arial" w:cs="Arial"/>
          <w:sz w:val="20"/>
          <w:szCs w:val="20"/>
          <w:lang w:val="en-GB"/>
        </w:rPr>
      </w:pPr>
      <w:r w:rsidRPr="00152B83">
        <w:rPr>
          <w:color w:val="000000"/>
          <w:sz w:val="27"/>
          <w:szCs w:val="27"/>
          <w:lang w:val="en-GB"/>
        </w:rPr>
        <w:t xml:space="preserve">The same provision applies in the event that (sub-) processors are involved in the implementation of the </w:t>
      </w:r>
      <w:proofErr w:type="gramStart"/>
      <w:r w:rsidRPr="00152B83">
        <w:rPr>
          <w:color w:val="000000"/>
          <w:sz w:val="27"/>
          <w:szCs w:val="27"/>
          <w:lang w:val="en-GB"/>
        </w:rPr>
        <w:t>assignment</w:t>
      </w:r>
      <w:proofErr w:type="gramEnd"/>
    </w:p>
    <w:p w14:paraId="505651D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sidRPr="00522EED">
        <w:rPr>
          <w:rFonts w:ascii="Arial" w:eastAsia="Times New Roman" w:hAnsi="Arial" w:cs="Arial"/>
          <w:b/>
          <w:bCs/>
          <w:sz w:val="20"/>
          <w:szCs w:val="20"/>
        </w:rPr>
        <w:t>C.   COMPETENT SUPERVISORY AUTHORITY</w:t>
      </w:r>
    </w:p>
    <w:p w14:paraId="1A8F021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7B4F3943" w14:textId="77777777" w:rsidR="00AB24F5" w:rsidRPr="00522EED" w:rsidRDefault="00CF2DC6"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Cs/>
          <w:sz w:val="20"/>
          <w:szCs w:val="20"/>
        </w:rPr>
        <w:t>European Data Protection Supervisor</w:t>
      </w:r>
    </w:p>
    <w:p w14:paraId="2954BF8B"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345093E"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TECHNICAL AND ORGANISATIONAL MEASURES INCLUDING TECHNICAL AND ORGANISATIONAL MEASURES TO ENSURE THE SECURITY OF THE DATA</w:t>
      </w:r>
    </w:p>
    <w:p w14:paraId="7A806FE1"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2C50FB3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EXPLANATORY NOTE:</w:t>
      </w:r>
    </w:p>
    <w:p w14:paraId="39C1EC75"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sidRPr="003A48D0">
        <w:rPr>
          <w:rFonts w:ascii="Arial" w:eastAsia="Times New Roman" w:hAnsi="Arial" w:cs="Arial"/>
          <w:i/>
          <w:sz w:val="20"/>
          <w:szCs w:val="20"/>
          <w:highlight w:val="lightGray"/>
        </w:rPr>
        <w:t xml:space="preserve">The technical and </w:t>
      </w:r>
      <w:proofErr w:type="spellStart"/>
      <w:r w:rsidRPr="003A48D0">
        <w:rPr>
          <w:rFonts w:ascii="Arial" w:eastAsia="Times New Roman" w:hAnsi="Arial" w:cs="Arial"/>
          <w:i/>
          <w:sz w:val="20"/>
          <w:szCs w:val="20"/>
          <w:highlight w:val="lightGray"/>
        </w:rPr>
        <w:t>organisational</w:t>
      </w:r>
      <w:proofErr w:type="spellEnd"/>
      <w:r w:rsidRPr="003A48D0">
        <w:rPr>
          <w:rFonts w:ascii="Arial" w:eastAsia="Times New Roman" w:hAnsi="Arial" w:cs="Arial"/>
          <w:i/>
          <w:sz w:val="20"/>
          <w:szCs w:val="20"/>
          <w:highlight w:val="lightGray"/>
        </w:rPr>
        <w:t xml:space="preserve"> measures must be described in specific (and not generic) terms. See also the general comment on the first page of the Appendix, </w:t>
      </w:r>
      <w:proofErr w:type="gramStart"/>
      <w:r w:rsidRPr="003A48D0">
        <w:rPr>
          <w:rFonts w:ascii="Arial" w:eastAsia="Times New Roman" w:hAnsi="Arial" w:cs="Arial"/>
          <w:i/>
          <w:sz w:val="20"/>
          <w:szCs w:val="20"/>
          <w:highlight w:val="lightGray"/>
        </w:rPr>
        <w:t>in particular on</w:t>
      </w:r>
      <w:proofErr w:type="gramEnd"/>
      <w:r w:rsidRPr="003A48D0">
        <w:rPr>
          <w:rFonts w:ascii="Arial" w:eastAsia="Times New Roman" w:hAnsi="Arial" w:cs="Arial"/>
          <w:i/>
          <w:sz w:val="20"/>
          <w:szCs w:val="20"/>
          <w:highlight w:val="lightGray"/>
        </w:rPr>
        <w:t xml:space="preserve"> the need to clearly indicate which measures apply to each transfer/set of transfers.</w:t>
      </w:r>
    </w:p>
    <w:p w14:paraId="5F9913ED"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rPr>
      </w:pPr>
      <w:r w:rsidRPr="003A48D0">
        <w:rPr>
          <w:rFonts w:ascii="Arial" w:eastAsia="Times New Roman" w:hAnsi="Arial" w:cs="Arial"/>
          <w:i/>
          <w:iCs/>
          <w:sz w:val="20"/>
          <w:szCs w:val="20"/>
          <w:highlight w:val="lightGray"/>
        </w:rPr>
        <w:t xml:space="preserve">Description of the technical and </w:t>
      </w:r>
      <w:proofErr w:type="spellStart"/>
      <w:r w:rsidRPr="003A48D0">
        <w:rPr>
          <w:rFonts w:ascii="Arial" w:eastAsia="Times New Roman" w:hAnsi="Arial" w:cs="Arial"/>
          <w:i/>
          <w:iCs/>
          <w:sz w:val="20"/>
          <w:szCs w:val="20"/>
          <w:highlight w:val="lightGray"/>
        </w:rPr>
        <w:t>organisational</w:t>
      </w:r>
      <w:proofErr w:type="spellEnd"/>
      <w:r w:rsidRPr="003A48D0">
        <w:rPr>
          <w:rFonts w:ascii="Arial" w:eastAsia="Times New Roman" w:hAnsi="Arial" w:cs="Arial"/>
          <w:i/>
          <w:iCs/>
          <w:sz w:val="20"/>
          <w:szCs w:val="20"/>
          <w:highlight w:val="lightGray"/>
        </w:rPr>
        <w:t xml:space="preserve"> measures implemented by the data importer(s) (including any relevant certifications) to ensure an appropriate level of security, </w:t>
      </w:r>
      <w:proofErr w:type="gramStart"/>
      <w:r w:rsidRPr="003A48D0">
        <w:rPr>
          <w:rFonts w:ascii="Arial" w:eastAsia="Times New Roman" w:hAnsi="Arial" w:cs="Arial"/>
          <w:i/>
          <w:iCs/>
          <w:sz w:val="20"/>
          <w:szCs w:val="20"/>
          <w:highlight w:val="lightGray"/>
        </w:rPr>
        <w:t>taking into account</w:t>
      </w:r>
      <w:proofErr w:type="gramEnd"/>
      <w:r w:rsidRPr="003A48D0">
        <w:rPr>
          <w:rFonts w:ascii="Arial" w:eastAsia="Times New Roman" w:hAnsi="Arial" w:cs="Arial"/>
          <w:i/>
          <w:iCs/>
          <w:sz w:val="20"/>
          <w:szCs w:val="20"/>
          <w:highlight w:val="lightGray"/>
        </w:rPr>
        <w:t xml:space="preserve"> the nature, scope, context and purpose of the processing, and the risks for the rights and fr</w:t>
      </w:r>
      <w:r w:rsidR="0054439E" w:rsidRPr="003A48D0">
        <w:rPr>
          <w:rFonts w:ascii="Arial" w:eastAsia="Times New Roman" w:hAnsi="Arial" w:cs="Arial"/>
          <w:i/>
          <w:iCs/>
          <w:sz w:val="20"/>
          <w:szCs w:val="20"/>
          <w:highlight w:val="lightGray"/>
        </w:rPr>
        <w:t>eedoms of natural persons:</w:t>
      </w:r>
    </w:p>
    <w:p w14:paraId="0E9E599F" w14:textId="7914DB4A" w:rsidR="00AB24F5" w:rsidRPr="00BF544B" w:rsidRDefault="00AB24F5" w:rsidP="00522EED">
      <w:pPr>
        <w:shd w:val="clear" w:color="auto" w:fill="FFFFFF"/>
        <w:spacing w:before="120" w:after="0" w:line="240" w:lineRule="auto"/>
        <w:jc w:val="both"/>
        <w:rPr>
          <w:rFonts w:ascii="Arial" w:eastAsia="Times New Roman" w:hAnsi="Arial" w:cs="Arial"/>
          <w:sz w:val="20"/>
          <w:szCs w:val="20"/>
          <w:highlight w:val="lightGray"/>
        </w:rPr>
      </w:pPr>
      <w:r w:rsidRPr="00BF544B">
        <w:rPr>
          <w:rFonts w:ascii="Arial" w:eastAsia="Times New Roman" w:hAnsi="Arial" w:cs="Arial"/>
          <w:i/>
          <w:iCs/>
          <w:sz w:val="20"/>
          <w:szCs w:val="20"/>
          <w:highlight w:val="lightGray"/>
        </w:rPr>
        <w:t>Examples of possible measures</w:t>
      </w:r>
      <w:r w:rsidR="006A1C93">
        <w:rPr>
          <w:rFonts w:ascii="Arial" w:eastAsia="Times New Roman" w:hAnsi="Arial" w:cs="Arial"/>
          <w:i/>
          <w:iCs/>
          <w:sz w:val="20"/>
          <w:szCs w:val="20"/>
          <w:highlight w:val="lightGray"/>
        </w:rPr>
        <w:t>: (</w:t>
      </w:r>
      <w:r w:rsidR="00BF544B">
        <w:rPr>
          <w:rFonts w:ascii="Arial" w:eastAsia="Times New Roman" w:hAnsi="Arial" w:cs="Arial"/>
          <w:i/>
          <w:iCs/>
          <w:sz w:val="20"/>
          <w:szCs w:val="20"/>
          <w:highlight w:val="lightGray"/>
        </w:rPr>
        <w:t>please add or delete</w:t>
      </w:r>
      <w:r w:rsidR="00DD7E11">
        <w:rPr>
          <w:rFonts w:ascii="Arial" w:eastAsia="Times New Roman" w:hAnsi="Arial" w:cs="Arial"/>
          <w:i/>
          <w:iCs/>
          <w:sz w:val="20"/>
          <w:szCs w:val="20"/>
          <w:highlight w:val="lightGray"/>
        </w:rPr>
        <w:t xml:space="preserve"> from the list</w:t>
      </w:r>
      <w:r w:rsidR="00BF544B">
        <w:rPr>
          <w:rFonts w:ascii="Arial" w:eastAsia="Times New Roman" w:hAnsi="Arial" w:cs="Arial"/>
          <w:i/>
          <w:iCs/>
          <w:sz w:val="20"/>
          <w:szCs w:val="20"/>
          <w:highlight w:val="lightGray"/>
        </w:rPr>
        <w:t xml:space="preserve"> as applicable</w:t>
      </w:r>
      <w:r w:rsidR="005B2BD7">
        <w:rPr>
          <w:rFonts w:ascii="Arial" w:eastAsia="Times New Roman" w:hAnsi="Arial" w:cs="Arial"/>
          <w:i/>
          <w:iCs/>
          <w:sz w:val="20"/>
          <w:szCs w:val="20"/>
          <w:highlight w:val="lightGray"/>
        </w:rPr>
        <w:t xml:space="preserve">, and </w:t>
      </w:r>
      <w:r w:rsidR="005B2BD7" w:rsidRPr="006A1C93">
        <w:rPr>
          <w:rFonts w:ascii="Arial" w:eastAsia="Times New Roman" w:hAnsi="Arial" w:cs="Arial"/>
          <w:b/>
          <w:i/>
          <w:iCs/>
          <w:sz w:val="20"/>
          <w:szCs w:val="20"/>
          <w:highlight w:val="lightGray"/>
          <w:u w:val="single"/>
        </w:rPr>
        <w:t>further complement</w:t>
      </w:r>
      <w:r w:rsidR="005B2BD7">
        <w:rPr>
          <w:rFonts w:ascii="Arial" w:eastAsia="Times New Roman" w:hAnsi="Arial" w:cs="Arial"/>
          <w:i/>
          <w:iCs/>
          <w:sz w:val="20"/>
          <w:szCs w:val="20"/>
          <w:highlight w:val="lightGray"/>
        </w:rPr>
        <w:t xml:space="preserve"> in specific terms</w:t>
      </w:r>
      <w:r w:rsidR="006A1C93">
        <w:rPr>
          <w:rFonts w:ascii="Arial" w:eastAsia="Times New Roman" w:hAnsi="Arial" w:cs="Arial"/>
          <w:i/>
          <w:iCs/>
          <w:sz w:val="20"/>
          <w:szCs w:val="20"/>
          <w:highlight w:val="lightGray"/>
        </w:rPr>
        <w:t xml:space="preserve"> </w:t>
      </w:r>
      <w:r w:rsidR="00DD7E11">
        <w:rPr>
          <w:rFonts w:ascii="Arial" w:eastAsia="Times New Roman" w:hAnsi="Arial" w:cs="Arial"/>
          <w:i/>
          <w:iCs/>
          <w:sz w:val="20"/>
          <w:szCs w:val="20"/>
          <w:highlight w:val="lightGray"/>
        </w:rPr>
        <w:t>for each selected</w:t>
      </w:r>
      <w:r w:rsidR="006A1C93">
        <w:rPr>
          <w:rFonts w:ascii="Arial" w:eastAsia="Times New Roman" w:hAnsi="Arial" w:cs="Arial"/>
          <w:i/>
          <w:iCs/>
          <w:sz w:val="20"/>
          <w:szCs w:val="20"/>
          <w:highlight w:val="lightGray"/>
        </w:rPr>
        <w:t>)</w:t>
      </w:r>
      <w:r w:rsidRPr="00BF544B">
        <w:rPr>
          <w:rFonts w:ascii="Arial" w:eastAsia="Times New Roman" w:hAnsi="Arial" w:cs="Arial"/>
          <w:i/>
          <w:iCs/>
          <w:sz w:val="20"/>
          <w:szCs w:val="20"/>
          <w:highlight w:val="lightGray"/>
        </w:rPr>
        <w:t>:</w:t>
      </w:r>
    </w:p>
    <w:p w14:paraId="6BE0D92A" w14:textId="772CAC7C"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 xml:space="preserve">Measures of </w:t>
      </w:r>
      <w:proofErr w:type="spellStart"/>
      <w:r w:rsidRPr="00522EED">
        <w:rPr>
          <w:rFonts w:ascii="Arial" w:eastAsia="Times New Roman" w:hAnsi="Arial" w:cs="Arial"/>
          <w:i/>
          <w:iCs/>
          <w:sz w:val="20"/>
          <w:szCs w:val="20"/>
          <w:highlight w:val="cyan"/>
        </w:rPr>
        <w:t>pseudonymisation</w:t>
      </w:r>
      <w:proofErr w:type="spellEnd"/>
      <w:r w:rsidRPr="00522EED">
        <w:rPr>
          <w:rFonts w:ascii="Arial" w:eastAsia="Times New Roman" w:hAnsi="Arial" w:cs="Arial"/>
          <w:i/>
          <w:iCs/>
          <w:sz w:val="20"/>
          <w:szCs w:val="20"/>
          <w:highlight w:val="cyan"/>
        </w:rPr>
        <w:t xml:space="preserve"> and encryption of personal data</w:t>
      </w:r>
      <w:r w:rsidR="00152B83">
        <w:rPr>
          <w:rFonts w:ascii="Arial" w:eastAsia="Times New Roman" w:hAnsi="Arial" w:cs="Arial"/>
          <w:i/>
          <w:iCs/>
          <w:sz w:val="20"/>
          <w:szCs w:val="20"/>
          <w:highlight w:val="cyan"/>
        </w:rPr>
        <w:t>:</w:t>
      </w:r>
    </w:p>
    <w:p w14:paraId="0380D22D"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2BF80723" w14:textId="000BAFEA"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ongoing confidentiality, integrity, availability and resilience of processing systems and services</w:t>
      </w:r>
      <w:r w:rsidR="00152B83">
        <w:rPr>
          <w:rFonts w:ascii="Arial" w:eastAsia="Times New Roman" w:hAnsi="Arial" w:cs="Arial"/>
          <w:i/>
          <w:iCs/>
          <w:sz w:val="20"/>
          <w:szCs w:val="20"/>
          <w:highlight w:val="cyan"/>
        </w:rPr>
        <w:t>:</w:t>
      </w:r>
    </w:p>
    <w:p w14:paraId="4C6707ED"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65368C53" w14:textId="27A7FC1F"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the ability to restore the availability and access to personal data in a timely manner in the event of a physical or technical incident</w:t>
      </w:r>
      <w:r w:rsidR="00152B83">
        <w:rPr>
          <w:rFonts w:ascii="Arial" w:eastAsia="Times New Roman" w:hAnsi="Arial" w:cs="Arial"/>
          <w:i/>
          <w:iCs/>
          <w:sz w:val="20"/>
          <w:szCs w:val="20"/>
          <w:highlight w:val="cyan"/>
        </w:rPr>
        <w:t>:</w:t>
      </w:r>
    </w:p>
    <w:p w14:paraId="311D8553"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78B23858" w14:textId="54907C45"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 xml:space="preserve">Processes for regularly testing, </w:t>
      </w:r>
      <w:proofErr w:type="gramStart"/>
      <w:r w:rsidRPr="00522EED">
        <w:rPr>
          <w:rFonts w:ascii="Arial" w:eastAsia="Times New Roman" w:hAnsi="Arial" w:cs="Arial"/>
          <w:i/>
          <w:iCs/>
          <w:sz w:val="20"/>
          <w:szCs w:val="20"/>
          <w:highlight w:val="cyan"/>
        </w:rPr>
        <w:t>assessing</w:t>
      </w:r>
      <w:proofErr w:type="gramEnd"/>
      <w:r w:rsidRPr="00522EED">
        <w:rPr>
          <w:rFonts w:ascii="Arial" w:eastAsia="Times New Roman" w:hAnsi="Arial" w:cs="Arial"/>
          <w:i/>
          <w:iCs/>
          <w:sz w:val="20"/>
          <w:szCs w:val="20"/>
          <w:highlight w:val="cyan"/>
        </w:rPr>
        <w:t xml:space="preserve"> and evaluating the effectiveness of technical and </w:t>
      </w:r>
      <w:proofErr w:type="spellStart"/>
      <w:r w:rsidRPr="00522EED">
        <w:rPr>
          <w:rFonts w:ascii="Arial" w:eastAsia="Times New Roman" w:hAnsi="Arial" w:cs="Arial"/>
          <w:i/>
          <w:iCs/>
          <w:sz w:val="20"/>
          <w:szCs w:val="20"/>
          <w:highlight w:val="cyan"/>
        </w:rPr>
        <w:t>organisational</w:t>
      </w:r>
      <w:proofErr w:type="spellEnd"/>
      <w:r w:rsidRPr="00522EED">
        <w:rPr>
          <w:rFonts w:ascii="Arial" w:eastAsia="Times New Roman" w:hAnsi="Arial" w:cs="Arial"/>
          <w:i/>
          <w:iCs/>
          <w:sz w:val="20"/>
          <w:szCs w:val="20"/>
          <w:highlight w:val="cyan"/>
        </w:rPr>
        <w:t xml:space="preserve"> measures in order to ensure the security of the processing</w:t>
      </w:r>
      <w:r w:rsidR="00152B83">
        <w:rPr>
          <w:rFonts w:ascii="Arial" w:eastAsia="Times New Roman" w:hAnsi="Arial" w:cs="Arial"/>
          <w:i/>
          <w:iCs/>
          <w:sz w:val="20"/>
          <w:szCs w:val="20"/>
          <w:highlight w:val="cyan"/>
        </w:rPr>
        <w:t>:</w:t>
      </w:r>
    </w:p>
    <w:p w14:paraId="7A882D21"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68289342" w14:textId="3BF09241"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 xml:space="preserve">Measures for user identification and </w:t>
      </w:r>
      <w:r w:rsidR="00152B83">
        <w:rPr>
          <w:rFonts w:ascii="Arial" w:eastAsia="Times New Roman" w:hAnsi="Arial" w:cs="Arial"/>
          <w:i/>
          <w:iCs/>
          <w:sz w:val="20"/>
          <w:szCs w:val="20"/>
          <w:highlight w:val="cyan"/>
        </w:rPr>
        <w:t>authorization:</w:t>
      </w:r>
    </w:p>
    <w:p w14:paraId="661EF42C"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77A63E96" w14:textId="4C8A33CB"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the protection of data during transmission</w:t>
      </w:r>
      <w:r w:rsidR="00152B83">
        <w:rPr>
          <w:rFonts w:ascii="Arial" w:eastAsia="Times New Roman" w:hAnsi="Arial" w:cs="Arial"/>
          <w:i/>
          <w:iCs/>
          <w:sz w:val="20"/>
          <w:szCs w:val="20"/>
          <w:highlight w:val="cyan"/>
        </w:rPr>
        <w:t>:</w:t>
      </w:r>
    </w:p>
    <w:p w14:paraId="15CEEACF"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3FBC0B1C" w14:textId="3E12D1E7"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the protection of data during storage</w:t>
      </w:r>
      <w:r w:rsidR="00152B83">
        <w:rPr>
          <w:rFonts w:ascii="Arial" w:eastAsia="Times New Roman" w:hAnsi="Arial" w:cs="Arial"/>
          <w:i/>
          <w:iCs/>
          <w:sz w:val="20"/>
          <w:szCs w:val="20"/>
          <w:highlight w:val="cyan"/>
        </w:rPr>
        <w:t>:</w:t>
      </w:r>
    </w:p>
    <w:p w14:paraId="17B211D0"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2C030C83" w14:textId="256227EA"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physical security of locations at which personal data are processed</w:t>
      </w:r>
      <w:r w:rsidR="00152B83">
        <w:rPr>
          <w:rFonts w:ascii="Arial" w:eastAsia="Times New Roman" w:hAnsi="Arial" w:cs="Arial"/>
          <w:i/>
          <w:iCs/>
          <w:sz w:val="20"/>
          <w:szCs w:val="20"/>
          <w:highlight w:val="cyan"/>
        </w:rPr>
        <w:t>:</w:t>
      </w:r>
    </w:p>
    <w:p w14:paraId="7E7B420C"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0C03C12E" w14:textId="59A1D339"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events logging</w:t>
      </w:r>
      <w:r w:rsidR="00152B83">
        <w:rPr>
          <w:rFonts w:ascii="Arial" w:eastAsia="Times New Roman" w:hAnsi="Arial" w:cs="Arial"/>
          <w:i/>
          <w:iCs/>
          <w:sz w:val="20"/>
          <w:szCs w:val="20"/>
          <w:highlight w:val="cyan"/>
        </w:rPr>
        <w:t>:</w:t>
      </w:r>
    </w:p>
    <w:p w14:paraId="675DAB75"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0716AF0C" w14:textId="0F878EAF"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system configuration, including default configuration</w:t>
      </w:r>
      <w:r w:rsidR="00152B83">
        <w:rPr>
          <w:rFonts w:ascii="Arial" w:eastAsia="Times New Roman" w:hAnsi="Arial" w:cs="Arial"/>
          <w:i/>
          <w:iCs/>
          <w:sz w:val="20"/>
          <w:szCs w:val="20"/>
          <w:highlight w:val="cyan"/>
        </w:rPr>
        <w:t>:</w:t>
      </w:r>
    </w:p>
    <w:p w14:paraId="7754B381"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0C460EB8" w14:textId="0777466A"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internal IT and IT security governance and management</w:t>
      </w:r>
      <w:r w:rsidR="00152B83">
        <w:rPr>
          <w:rFonts w:ascii="Arial" w:eastAsia="Times New Roman" w:hAnsi="Arial" w:cs="Arial"/>
          <w:i/>
          <w:iCs/>
          <w:sz w:val="20"/>
          <w:szCs w:val="20"/>
          <w:highlight w:val="cyan"/>
        </w:rPr>
        <w:t>:</w:t>
      </w:r>
    </w:p>
    <w:p w14:paraId="59BB988F"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76AF5486" w14:textId="0CD8991E"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certification/assurance of processes and products</w:t>
      </w:r>
      <w:r w:rsidR="00152B83">
        <w:rPr>
          <w:rFonts w:ascii="Arial" w:eastAsia="Times New Roman" w:hAnsi="Arial" w:cs="Arial"/>
          <w:i/>
          <w:iCs/>
          <w:sz w:val="20"/>
          <w:szCs w:val="20"/>
          <w:highlight w:val="cyan"/>
        </w:rPr>
        <w:t>:</w:t>
      </w:r>
    </w:p>
    <w:p w14:paraId="24D6D386"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3F4A94E9" w14:textId="6A395B47"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 xml:space="preserve">Measures for ensuring data </w:t>
      </w:r>
      <w:r w:rsidR="00152B83">
        <w:rPr>
          <w:rFonts w:ascii="Arial" w:eastAsia="Times New Roman" w:hAnsi="Arial" w:cs="Arial"/>
          <w:i/>
          <w:iCs/>
          <w:sz w:val="20"/>
          <w:szCs w:val="20"/>
          <w:highlight w:val="cyan"/>
        </w:rPr>
        <w:t>minimization:</w:t>
      </w:r>
    </w:p>
    <w:p w14:paraId="1775265B"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2B3F8EC7" w14:textId="044D3D0A"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lastRenderedPageBreak/>
        <w:t>Measures for ensuring data quality</w:t>
      </w:r>
      <w:r w:rsidR="00152B83">
        <w:rPr>
          <w:rFonts w:ascii="Arial" w:eastAsia="Times New Roman" w:hAnsi="Arial" w:cs="Arial"/>
          <w:i/>
          <w:iCs/>
          <w:sz w:val="20"/>
          <w:szCs w:val="20"/>
          <w:highlight w:val="cyan"/>
        </w:rPr>
        <w:t>:</w:t>
      </w:r>
    </w:p>
    <w:p w14:paraId="7587A3AF"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405543DB" w14:textId="6F9F6C94"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limited data retention</w:t>
      </w:r>
      <w:r w:rsidR="00152B83">
        <w:rPr>
          <w:rFonts w:ascii="Arial" w:eastAsia="Times New Roman" w:hAnsi="Arial" w:cs="Arial"/>
          <w:i/>
          <w:iCs/>
          <w:sz w:val="20"/>
          <w:szCs w:val="20"/>
          <w:highlight w:val="cyan"/>
        </w:rPr>
        <w:t>:</w:t>
      </w:r>
    </w:p>
    <w:p w14:paraId="185BBA31"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2219010D" w14:textId="1202A5E5" w:rsidR="00AB24F5" w:rsidRDefault="00AB24F5" w:rsidP="00522EED">
      <w:pPr>
        <w:shd w:val="clear" w:color="auto" w:fill="FFFFFF"/>
        <w:spacing w:before="120" w:after="0" w:line="240" w:lineRule="auto"/>
        <w:jc w:val="both"/>
        <w:rPr>
          <w:rFonts w:ascii="Arial" w:eastAsia="Times New Roman" w:hAnsi="Arial" w:cs="Arial"/>
          <w:i/>
          <w:iCs/>
          <w:sz w:val="20"/>
          <w:szCs w:val="20"/>
          <w:highlight w:val="cyan"/>
        </w:rPr>
      </w:pPr>
      <w:r w:rsidRPr="00522EED">
        <w:rPr>
          <w:rFonts w:ascii="Arial" w:eastAsia="Times New Roman" w:hAnsi="Arial" w:cs="Arial"/>
          <w:i/>
          <w:iCs/>
          <w:sz w:val="20"/>
          <w:szCs w:val="20"/>
          <w:highlight w:val="cyan"/>
        </w:rPr>
        <w:t>Measures for ensuring accountability</w:t>
      </w:r>
      <w:r w:rsidR="00152B83">
        <w:rPr>
          <w:rFonts w:ascii="Arial" w:eastAsia="Times New Roman" w:hAnsi="Arial" w:cs="Arial"/>
          <w:i/>
          <w:iCs/>
          <w:sz w:val="20"/>
          <w:szCs w:val="20"/>
          <w:highlight w:val="cyan"/>
        </w:rPr>
        <w:t>:</w:t>
      </w:r>
    </w:p>
    <w:p w14:paraId="2C9A060C"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highlight w:val="cyan"/>
        </w:rPr>
      </w:pPr>
    </w:p>
    <w:p w14:paraId="344A170E" w14:textId="2BE6CD4E" w:rsidR="00AB24F5" w:rsidRDefault="00AB24F5" w:rsidP="00522EED">
      <w:pPr>
        <w:shd w:val="clear" w:color="auto" w:fill="FFFFFF"/>
        <w:spacing w:before="120" w:after="0" w:line="240" w:lineRule="auto"/>
        <w:jc w:val="both"/>
        <w:rPr>
          <w:rFonts w:ascii="Arial" w:eastAsia="Times New Roman" w:hAnsi="Arial" w:cs="Arial"/>
          <w:i/>
          <w:iCs/>
          <w:sz w:val="20"/>
          <w:szCs w:val="20"/>
        </w:rPr>
      </w:pPr>
      <w:r w:rsidRPr="00522EED">
        <w:rPr>
          <w:rFonts w:ascii="Arial" w:eastAsia="Times New Roman" w:hAnsi="Arial" w:cs="Arial"/>
          <w:i/>
          <w:iCs/>
          <w:sz w:val="20"/>
          <w:szCs w:val="20"/>
          <w:highlight w:val="cyan"/>
        </w:rPr>
        <w:t>Measures for allowing data portability and ensuring erasure</w:t>
      </w:r>
      <w:r w:rsidR="00152B83">
        <w:rPr>
          <w:rFonts w:ascii="Arial" w:eastAsia="Times New Roman" w:hAnsi="Arial" w:cs="Arial"/>
          <w:i/>
          <w:iCs/>
          <w:sz w:val="20"/>
          <w:szCs w:val="20"/>
        </w:rPr>
        <w:t>:</w:t>
      </w:r>
    </w:p>
    <w:p w14:paraId="6879C1F9" w14:textId="77777777" w:rsidR="00152B83" w:rsidRPr="00522EED" w:rsidRDefault="00152B83" w:rsidP="00522EED">
      <w:pPr>
        <w:shd w:val="clear" w:color="auto" w:fill="FFFFFF"/>
        <w:spacing w:before="120" w:after="0" w:line="240" w:lineRule="auto"/>
        <w:jc w:val="both"/>
        <w:rPr>
          <w:rFonts w:ascii="Arial" w:eastAsia="Times New Roman" w:hAnsi="Arial" w:cs="Arial"/>
          <w:sz w:val="20"/>
          <w:szCs w:val="20"/>
        </w:rPr>
      </w:pPr>
    </w:p>
    <w:p w14:paraId="19634AEE" w14:textId="77777777" w:rsidR="00AB24F5" w:rsidRPr="00522EED" w:rsidRDefault="00AB24F5" w:rsidP="00522EED">
      <w:pPr>
        <w:shd w:val="clear" w:color="auto" w:fill="FFFFFF"/>
        <w:spacing w:before="120" w:after="0" w:line="240" w:lineRule="auto"/>
        <w:jc w:val="both"/>
        <w:rPr>
          <w:rFonts w:ascii="Arial" w:eastAsia="Times New Roman" w:hAnsi="Arial" w:cs="Arial"/>
          <w:i/>
          <w:iCs/>
          <w:sz w:val="20"/>
          <w:szCs w:val="20"/>
        </w:rPr>
      </w:pPr>
      <w:r w:rsidRPr="00522EED">
        <w:rPr>
          <w:rFonts w:ascii="Arial" w:eastAsia="Times New Roman" w:hAnsi="Arial" w:cs="Arial"/>
          <w:i/>
          <w:iCs/>
          <w:sz w:val="20"/>
          <w:szCs w:val="20"/>
        </w:rPr>
        <w:t>For transfers to (sub-) processors, also</w:t>
      </w:r>
      <w:r w:rsidRPr="00522EED">
        <w:rPr>
          <w:rFonts w:ascii="Arial" w:eastAsia="Times New Roman" w:hAnsi="Arial" w:cs="Arial"/>
          <w:sz w:val="20"/>
          <w:szCs w:val="20"/>
        </w:rPr>
        <w:t> </w:t>
      </w:r>
      <w:r w:rsidRPr="00522EED">
        <w:rPr>
          <w:rFonts w:ascii="Arial" w:eastAsia="Times New Roman" w:hAnsi="Arial" w:cs="Arial"/>
          <w:i/>
          <w:iCs/>
          <w:sz w:val="20"/>
          <w:szCs w:val="20"/>
        </w:rPr>
        <w:t xml:space="preserve">describe the specific technical and </w:t>
      </w:r>
      <w:proofErr w:type="spellStart"/>
      <w:r w:rsidRPr="00522EED">
        <w:rPr>
          <w:rFonts w:ascii="Arial" w:eastAsia="Times New Roman" w:hAnsi="Arial" w:cs="Arial"/>
          <w:i/>
          <w:iCs/>
          <w:sz w:val="20"/>
          <w:szCs w:val="20"/>
        </w:rPr>
        <w:t>organisational</w:t>
      </w:r>
      <w:proofErr w:type="spellEnd"/>
      <w:r w:rsidRPr="00522EED">
        <w:rPr>
          <w:rFonts w:ascii="Arial" w:eastAsia="Times New Roman" w:hAnsi="Arial" w:cs="Arial"/>
          <w:i/>
          <w:iCs/>
          <w:sz w:val="20"/>
          <w:szCs w:val="20"/>
        </w:rPr>
        <w:t xml:space="preserve"> measures to be taken by the (sub-) processor to be able to </w:t>
      </w:r>
      <w:proofErr w:type="gramStart"/>
      <w:r w:rsidRPr="00522EED">
        <w:rPr>
          <w:rFonts w:ascii="Arial" w:eastAsia="Times New Roman" w:hAnsi="Arial" w:cs="Arial"/>
          <w:i/>
          <w:iCs/>
          <w:sz w:val="20"/>
          <w:szCs w:val="20"/>
        </w:rPr>
        <w:t>provide assistance to</w:t>
      </w:r>
      <w:proofErr w:type="gramEnd"/>
      <w:r w:rsidRPr="00522EED">
        <w:rPr>
          <w:rFonts w:ascii="Arial" w:eastAsia="Times New Roman" w:hAnsi="Arial" w:cs="Arial"/>
          <w:i/>
          <w:iCs/>
          <w:sz w:val="20"/>
          <w:szCs w:val="20"/>
        </w:rPr>
        <w:t xml:space="preserve"> the controller and, for transfers from a processor to a sub-processor, to the data exporter</w:t>
      </w:r>
      <w:r w:rsidR="0054439E" w:rsidRPr="00522EED">
        <w:rPr>
          <w:rFonts w:ascii="Arial" w:eastAsia="Times New Roman" w:hAnsi="Arial" w:cs="Arial"/>
          <w:i/>
          <w:iCs/>
          <w:sz w:val="20"/>
          <w:szCs w:val="20"/>
        </w:rPr>
        <w:t>:</w:t>
      </w:r>
    </w:p>
    <w:p w14:paraId="113E53F2" w14:textId="77777777" w:rsidR="0054439E" w:rsidRPr="00522EED" w:rsidRDefault="0054439E"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i/>
          <w:iCs/>
          <w:sz w:val="20"/>
          <w:szCs w:val="20"/>
          <w:highlight w:val="cyan"/>
        </w:rPr>
        <w:t>…</w:t>
      </w:r>
      <w:r w:rsidR="005B2BD7">
        <w:rPr>
          <w:rStyle w:val="FootnoteReference"/>
          <w:rFonts w:ascii="Arial" w:eastAsia="Times New Roman" w:hAnsi="Arial" w:cs="Arial"/>
          <w:i/>
          <w:iCs/>
          <w:sz w:val="20"/>
          <w:szCs w:val="20"/>
          <w:highlight w:val="cyan"/>
        </w:rPr>
        <w:footnoteReference w:id="9"/>
      </w:r>
    </w:p>
    <w:p w14:paraId="1F272955" w14:textId="77777777" w:rsidR="00CF2DC6" w:rsidRPr="00522EED" w:rsidRDefault="00CF2DC6"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br w:type="page"/>
      </w:r>
    </w:p>
    <w:p w14:paraId="3C69611E" w14:textId="77777777" w:rsidR="00AB24F5" w:rsidRPr="00522EED" w:rsidRDefault="00AB24F5" w:rsidP="00190B05">
      <w:pPr>
        <w:shd w:val="clear" w:color="auto" w:fill="FFFFFF"/>
        <w:spacing w:before="360" w:after="360" w:line="240" w:lineRule="auto"/>
        <w:jc w:val="center"/>
        <w:rPr>
          <w:rFonts w:ascii="Arial" w:eastAsia="Times New Roman" w:hAnsi="Arial" w:cs="Arial"/>
          <w:b/>
          <w:bCs/>
          <w:sz w:val="20"/>
          <w:szCs w:val="20"/>
        </w:rPr>
      </w:pPr>
      <w:r w:rsidRPr="00522EED">
        <w:rPr>
          <w:rFonts w:ascii="Arial" w:eastAsia="Times New Roman" w:hAnsi="Arial" w:cs="Arial"/>
          <w:b/>
          <w:bCs/>
          <w:sz w:val="20"/>
          <w:szCs w:val="20"/>
        </w:rPr>
        <w:lastRenderedPageBreak/>
        <w:t>ANNEX III</w:t>
      </w:r>
      <w:r w:rsidR="00190B05">
        <w:rPr>
          <w:rFonts w:ascii="Arial" w:eastAsia="Times New Roman" w:hAnsi="Arial" w:cs="Arial"/>
          <w:b/>
          <w:bCs/>
          <w:sz w:val="20"/>
          <w:szCs w:val="20"/>
        </w:rPr>
        <w:t xml:space="preserve"> </w:t>
      </w:r>
      <w:r w:rsidRPr="00522EED">
        <w:rPr>
          <w:rFonts w:ascii="Arial" w:eastAsia="Times New Roman" w:hAnsi="Arial" w:cs="Arial"/>
          <w:b/>
          <w:bCs/>
          <w:sz w:val="20"/>
          <w:szCs w:val="20"/>
        </w:rPr>
        <w:t>LIST OF SUB-PROCESSORS</w:t>
      </w:r>
    </w:p>
    <w:p w14:paraId="31BFA16D"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sidRPr="00522EED">
        <w:rPr>
          <w:rFonts w:ascii="Arial" w:eastAsia="Times New Roman" w:hAnsi="Arial" w:cs="Arial"/>
          <w:b/>
          <w:bCs/>
          <w:sz w:val="20"/>
          <w:szCs w:val="20"/>
        </w:rPr>
        <w:t>MODULE TWO: Transfer controller to processor</w:t>
      </w:r>
    </w:p>
    <w:p w14:paraId="1FA0B129" w14:textId="77777777" w:rsidR="00AB24F5" w:rsidRPr="00BF544B" w:rsidRDefault="00AB24F5" w:rsidP="00522EED">
      <w:pPr>
        <w:shd w:val="clear" w:color="auto" w:fill="FFFFFF"/>
        <w:spacing w:before="120" w:after="0" w:line="240" w:lineRule="auto"/>
        <w:jc w:val="both"/>
        <w:rPr>
          <w:rFonts w:ascii="Arial" w:eastAsia="Times New Roman" w:hAnsi="Arial" w:cs="Arial"/>
          <w:i/>
          <w:sz w:val="20"/>
          <w:szCs w:val="20"/>
        </w:rPr>
      </w:pPr>
    </w:p>
    <w:p w14:paraId="72B92E3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The controller has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the use of the following sub-processors:</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53A8AE04" w14:textId="77777777" w:rsidTr="00AB24F5">
        <w:tc>
          <w:tcPr>
            <w:tcW w:w="0" w:type="auto"/>
            <w:shd w:val="clear" w:color="auto" w:fill="auto"/>
            <w:hideMark/>
          </w:tcPr>
          <w:p w14:paraId="452EAFEC"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shd w:val="clear" w:color="auto" w:fill="auto"/>
            <w:hideMark/>
          </w:tcPr>
          <w:p w14:paraId="2B1FD690"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1.</w:t>
            </w:r>
          </w:p>
        </w:tc>
        <w:tc>
          <w:tcPr>
            <w:tcW w:w="0" w:type="auto"/>
            <w:shd w:val="clear" w:color="auto" w:fill="auto"/>
            <w:hideMark/>
          </w:tcPr>
          <w:p w14:paraId="7F772661"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Name: </w:t>
            </w:r>
            <w:r w:rsidRPr="00522EED">
              <w:rPr>
                <w:rFonts w:ascii="Arial" w:eastAsia="Times New Roman" w:hAnsi="Arial" w:cs="Arial"/>
                <w:sz w:val="20"/>
                <w:szCs w:val="20"/>
                <w:highlight w:val="cyan"/>
              </w:rPr>
              <w:t>…</w:t>
            </w:r>
          </w:p>
          <w:p w14:paraId="19084FCD"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Address: </w:t>
            </w:r>
            <w:r w:rsidR="00B51A41" w:rsidRPr="00522EED">
              <w:rPr>
                <w:rFonts w:ascii="Arial" w:eastAsia="Times New Roman" w:hAnsi="Arial" w:cs="Arial"/>
                <w:sz w:val="20"/>
                <w:szCs w:val="20"/>
                <w:highlight w:val="cyan"/>
              </w:rPr>
              <w:t>…</w:t>
            </w:r>
          </w:p>
          <w:p w14:paraId="6EEA28FC"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Contact person’s name, </w:t>
            </w:r>
            <w:proofErr w:type="gramStart"/>
            <w:r w:rsidRPr="00522EED">
              <w:rPr>
                <w:rFonts w:ascii="Arial" w:eastAsia="Times New Roman" w:hAnsi="Arial" w:cs="Arial"/>
                <w:sz w:val="20"/>
                <w:szCs w:val="20"/>
              </w:rPr>
              <w:t>position</w:t>
            </w:r>
            <w:proofErr w:type="gramEnd"/>
            <w:r w:rsidRPr="00522EED">
              <w:rPr>
                <w:rFonts w:ascii="Arial" w:eastAsia="Times New Roman" w:hAnsi="Arial" w:cs="Arial"/>
                <w:sz w:val="20"/>
                <w:szCs w:val="20"/>
              </w:rPr>
              <w:t xml:space="preserve"> and contact details: </w:t>
            </w:r>
            <w:r w:rsidR="00B51A41" w:rsidRPr="00522EED">
              <w:rPr>
                <w:rFonts w:ascii="Arial" w:eastAsia="Times New Roman" w:hAnsi="Arial" w:cs="Arial"/>
                <w:sz w:val="20"/>
                <w:szCs w:val="20"/>
                <w:highlight w:val="cyan"/>
              </w:rPr>
              <w:t>…</w:t>
            </w:r>
          </w:p>
          <w:p w14:paraId="2833509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rPr>
              <w:t xml:space="preserve">Description of processing (including a clear delimitation of responsibilities in case several sub-processors are </w:t>
            </w:r>
            <w:proofErr w:type="spellStart"/>
            <w:r w:rsidRPr="00522EED">
              <w:rPr>
                <w:rFonts w:ascii="Arial" w:eastAsia="Times New Roman" w:hAnsi="Arial" w:cs="Arial"/>
                <w:sz w:val="20"/>
                <w:szCs w:val="20"/>
              </w:rPr>
              <w:t>authorised</w:t>
            </w:r>
            <w:proofErr w:type="spellEnd"/>
            <w:r w:rsidRPr="00522EED">
              <w:rPr>
                <w:rFonts w:ascii="Arial" w:eastAsia="Times New Roman" w:hAnsi="Arial" w:cs="Arial"/>
                <w:sz w:val="20"/>
                <w:szCs w:val="20"/>
              </w:rPr>
              <w:t xml:space="preserve">): </w:t>
            </w:r>
            <w:r w:rsidR="00B51A41" w:rsidRPr="00522EED">
              <w:rPr>
                <w:rFonts w:ascii="Arial" w:eastAsia="Times New Roman" w:hAnsi="Arial" w:cs="Arial"/>
                <w:sz w:val="20"/>
                <w:szCs w:val="20"/>
                <w:highlight w:val="cyan"/>
              </w:rPr>
              <w:t>…</w:t>
            </w:r>
          </w:p>
        </w:tc>
      </w:tr>
    </w:tbl>
    <w:p w14:paraId="0928A98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92"/>
        <w:gridCol w:w="471"/>
        <w:gridCol w:w="8463"/>
      </w:tblGrid>
      <w:tr w:rsidR="00522EED" w:rsidRPr="00522EED" w14:paraId="61663809" w14:textId="77777777" w:rsidTr="00BF544B">
        <w:tc>
          <w:tcPr>
            <w:tcW w:w="0" w:type="auto"/>
            <w:shd w:val="clear" w:color="auto" w:fill="auto"/>
            <w:hideMark/>
          </w:tcPr>
          <w:p w14:paraId="77FC1387"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261" w:type="pct"/>
            <w:shd w:val="clear" w:color="auto" w:fill="auto"/>
            <w:hideMark/>
          </w:tcPr>
          <w:p w14:paraId="1C86156F" w14:textId="77777777" w:rsidR="00AB24F5" w:rsidRPr="00522EED" w:rsidRDefault="00AB24F5" w:rsidP="00522EED">
            <w:pPr>
              <w:spacing w:before="120" w:after="0" w:line="240" w:lineRule="auto"/>
              <w:jc w:val="both"/>
              <w:rPr>
                <w:rFonts w:ascii="Arial" w:eastAsia="Times New Roman" w:hAnsi="Arial" w:cs="Arial"/>
                <w:sz w:val="20"/>
                <w:szCs w:val="20"/>
              </w:rPr>
            </w:pPr>
            <w:r w:rsidRPr="00522EED">
              <w:rPr>
                <w:rFonts w:ascii="Arial" w:eastAsia="Times New Roman" w:hAnsi="Arial" w:cs="Arial"/>
                <w:sz w:val="20"/>
                <w:szCs w:val="20"/>
                <w:highlight w:val="cyan"/>
              </w:rPr>
              <w:t>2.</w:t>
            </w:r>
          </w:p>
        </w:tc>
        <w:tc>
          <w:tcPr>
            <w:tcW w:w="4688" w:type="pct"/>
            <w:shd w:val="clear" w:color="auto" w:fill="auto"/>
            <w:hideMark/>
          </w:tcPr>
          <w:p w14:paraId="5EF112AC" w14:textId="77777777" w:rsidR="00AB24F5" w:rsidRPr="00522EED" w:rsidRDefault="00B51A41" w:rsidP="00BF544B">
            <w:pPr>
              <w:spacing w:before="120" w:after="0" w:line="240" w:lineRule="auto"/>
              <w:ind w:left="210"/>
              <w:jc w:val="both"/>
              <w:rPr>
                <w:rFonts w:ascii="Arial" w:eastAsia="Times New Roman" w:hAnsi="Arial" w:cs="Arial"/>
                <w:sz w:val="20"/>
                <w:szCs w:val="20"/>
              </w:rPr>
            </w:pPr>
            <w:r w:rsidRPr="00522EED">
              <w:rPr>
                <w:rFonts w:ascii="Arial" w:eastAsia="Times New Roman" w:hAnsi="Arial" w:cs="Arial"/>
                <w:sz w:val="20"/>
                <w:szCs w:val="20"/>
                <w:highlight w:val="cyan"/>
              </w:rPr>
              <w:t>…</w:t>
            </w:r>
          </w:p>
        </w:tc>
      </w:tr>
    </w:tbl>
    <w:p w14:paraId="3FE5F106" w14:textId="0EE28C52" w:rsidR="004C501D" w:rsidRPr="00E17B07" w:rsidRDefault="004C501D" w:rsidP="004C501D">
      <w:pPr>
        <w:pStyle w:val="Header"/>
        <w:rPr>
          <w:rFonts w:ascii="Arial" w:hAnsi="Arial" w:cs="Arial"/>
          <w:sz w:val="20"/>
          <w:szCs w:val="20"/>
          <w:lang w:val="en-GB"/>
        </w:rPr>
      </w:pPr>
      <w:bookmarkStart w:id="2" w:name="_Hlk135927893"/>
      <w:r w:rsidRPr="00E17B07">
        <w:rPr>
          <w:rFonts w:ascii="Arial" w:hAnsi="Arial" w:cs="Arial"/>
          <w:sz w:val="16"/>
          <w:szCs w:val="16"/>
          <w:lang w:val="en-GB"/>
        </w:rPr>
        <w:t>]</w:t>
      </w:r>
    </w:p>
    <w:bookmarkEnd w:id="2"/>
    <w:p w14:paraId="29808C29" w14:textId="77777777" w:rsidR="004F59C3" w:rsidRPr="00522EED" w:rsidRDefault="004F59C3" w:rsidP="00522EED">
      <w:pPr>
        <w:spacing w:before="120" w:after="0" w:line="240" w:lineRule="auto"/>
        <w:jc w:val="both"/>
        <w:rPr>
          <w:rFonts w:ascii="Arial" w:hAnsi="Arial" w:cs="Arial"/>
          <w:sz w:val="20"/>
          <w:szCs w:val="20"/>
        </w:rPr>
      </w:pPr>
    </w:p>
    <w:sectPr w:rsidR="004F59C3" w:rsidRPr="00522EED" w:rsidSect="0038797C">
      <w:headerReference w:type="default" r:id="rId7"/>
      <w:footerReference w:type="default" r:id="rId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F93B" w14:textId="77777777" w:rsidR="009F19C1" w:rsidRDefault="009F19C1" w:rsidP="00AB24F5">
      <w:pPr>
        <w:spacing w:after="0" w:line="240" w:lineRule="auto"/>
      </w:pPr>
      <w:r>
        <w:separator/>
      </w:r>
    </w:p>
  </w:endnote>
  <w:endnote w:type="continuationSeparator" w:id="0">
    <w:p w14:paraId="25A1084D" w14:textId="77777777" w:rsidR="009F19C1" w:rsidRDefault="009F19C1" w:rsidP="00AB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D4B6" w14:textId="77777777" w:rsidR="00353764" w:rsidRPr="00522EED" w:rsidRDefault="00353764">
    <w:pPr>
      <w:pStyle w:val="Footer"/>
      <w:rPr>
        <w:rFonts w:ascii="Arial" w:hAnsi="Arial" w:cs="Arial"/>
        <w:b/>
        <w:sz w:val="16"/>
        <w:szCs w:val="16"/>
      </w:rPr>
    </w:pPr>
    <w:r w:rsidRPr="00F32663">
      <w:rPr>
        <w:rFonts w:ascii="Arial" w:hAnsi="Arial" w:cs="Arial"/>
        <w:sz w:val="16"/>
        <w:szCs w:val="16"/>
      </w:rPr>
      <w:t>Version</w:t>
    </w:r>
    <w:r>
      <w:rPr>
        <w:rFonts w:ascii="Arial" w:hAnsi="Arial" w:cs="Arial"/>
        <w:sz w:val="16"/>
        <w:szCs w:val="16"/>
      </w:rPr>
      <w:t xml:space="preserve"> 1.1: </w:t>
    </w:r>
    <w:r w:rsidRPr="00190B05">
      <w:rPr>
        <w:rFonts w:ascii="Arial" w:hAnsi="Arial" w:cs="Arial"/>
        <w:sz w:val="16"/>
        <w:szCs w:val="16"/>
      </w:rPr>
      <w:t>Commission Implementing Decision (EU) 2021/914 of 4 June 2021 on standard contractual clauses for the transfer of personal data to third countries pursuant to Regulation (EU) 2016/679 of the European Parliament and of the Council</w:t>
    </w:r>
    <w:r>
      <w:rPr>
        <w:rFonts w:ascii="Arial" w:hAnsi="Arial" w:cs="Arial"/>
        <w:sz w:val="16"/>
        <w:szCs w:val="16"/>
      </w:rPr>
      <w:t>.</w:t>
    </w:r>
  </w:p>
  <w:p w14:paraId="1F212B27" w14:textId="77777777" w:rsidR="00353764" w:rsidRDefault="0035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834E7" w14:textId="77777777" w:rsidR="009F19C1" w:rsidRDefault="009F19C1" w:rsidP="00AB24F5">
      <w:pPr>
        <w:spacing w:after="0" w:line="240" w:lineRule="auto"/>
      </w:pPr>
      <w:r>
        <w:separator/>
      </w:r>
    </w:p>
  </w:footnote>
  <w:footnote w:type="continuationSeparator" w:id="0">
    <w:p w14:paraId="26EF3157" w14:textId="77777777" w:rsidR="009F19C1" w:rsidRDefault="009F19C1" w:rsidP="00AB24F5">
      <w:pPr>
        <w:spacing w:after="0" w:line="240" w:lineRule="auto"/>
      </w:pPr>
      <w:r>
        <w:continuationSeparator/>
      </w:r>
    </w:p>
  </w:footnote>
  <w:footnote w:id="1">
    <w:p w14:paraId="31776ADA" w14:textId="77777777" w:rsidR="00353764" w:rsidRPr="00190B05" w:rsidRDefault="00353764" w:rsidP="00190B05">
      <w:pPr>
        <w:pStyle w:val="FootnoteText"/>
        <w:spacing w:after="120"/>
        <w:jc w:val="both"/>
        <w:rPr>
          <w:rFonts w:ascii="Arial" w:hAnsi="Arial" w:cs="Arial"/>
          <w:sz w:val="18"/>
          <w:szCs w:val="18"/>
        </w:rPr>
      </w:pPr>
      <w:r w:rsidRPr="00190B05">
        <w:rPr>
          <w:rStyle w:val="FootnoteReference"/>
          <w:rFonts w:ascii="Arial" w:hAnsi="Arial" w:cs="Arial"/>
          <w:sz w:val="18"/>
          <w:szCs w:val="18"/>
        </w:rPr>
        <w:footnoteRef/>
      </w:r>
      <w:r w:rsidRPr="00190B05">
        <w:rPr>
          <w:rFonts w:ascii="Arial" w:hAnsi="Arial" w:cs="Arial"/>
          <w:sz w:val="18"/>
          <w:szCs w:val="18"/>
        </w:rPr>
        <w:t xml:space="preserve"> </w:t>
      </w:r>
      <w:r w:rsidRPr="00190B05">
        <w:rPr>
          <w:rFonts w:ascii="Arial" w:hAnsi="Arial" w:cs="Arial"/>
          <w:sz w:val="18"/>
          <w:szCs w:val="18"/>
          <w:highlight w:val="lightGray"/>
        </w:rPr>
        <w:t xml:space="preserve">Instructions: Sections in </w:t>
      </w:r>
      <w:r w:rsidRPr="00190B05">
        <w:rPr>
          <w:rFonts w:ascii="Arial" w:hAnsi="Arial" w:cs="Arial"/>
          <w:sz w:val="18"/>
          <w:szCs w:val="18"/>
          <w:highlight w:val="cyan"/>
        </w:rPr>
        <w:t xml:space="preserve">blue </w:t>
      </w:r>
      <w:r w:rsidRPr="00190B05">
        <w:rPr>
          <w:rFonts w:ascii="Arial" w:hAnsi="Arial" w:cs="Arial"/>
          <w:sz w:val="18"/>
          <w:szCs w:val="18"/>
          <w:highlight w:val="lightGray"/>
        </w:rPr>
        <w:t xml:space="preserve">to be inserted by EIB before including this Appendix into the procurement documents / Sections in </w:t>
      </w:r>
      <w:r w:rsidRPr="00190B05">
        <w:rPr>
          <w:rFonts w:ascii="Arial" w:hAnsi="Arial" w:cs="Arial"/>
          <w:sz w:val="18"/>
          <w:szCs w:val="18"/>
          <w:highlight w:val="yellow"/>
        </w:rPr>
        <w:t xml:space="preserve">yellow </w:t>
      </w:r>
      <w:r w:rsidRPr="00190B05">
        <w:rPr>
          <w:rFonts w:ascii="Arial" w:hAnsi="Arial" w:cs="Arial"/>
          <w:sz w:val="18"/>
          <w:szCs w:val="18"/>
          <w:highlight w:val="lightGray"/>
        </w:rPr>
        <w:t>to be completed by the successful tenderer prior to signature of the Contract /Agreement / Sections in grey are internal instructions to EIB and must be removed before issuance</w:t>
      </w:r>
      <w:r>
        <w:rPr>
          <w:rFonts w:ascii="Arial" w:hAnsi="Arial" w:cs="Arial"/>
          <w:sz w:val="18"/>
          <w:szCs w:val="18"/>
        </w:rPr>
        <w:t>.</w:t>
      </w:r>
    </w:p>
  </w:footnote>
  <w:footnote w:id="2">
    <w:p w14:paraId="6348101E" w14:textId="1B5AD49D" w:rsidR="0025108D" w:rsidRPr="002E5547" w:rsidRDefault="0025108D">
      <w:pPr>
        <w:pStyle w:val="FootnoteText"/>
        <w:rPr>
          <w:rFonts w:ascii="Arial" w:hAnsi="Arial" w:cs="Arial"/>
        </w:rPr>
      </w:pPr>
      <w:r w:rsidRPr="002E5547">
        <w:rPr>
          <w:rStyle w:val="FootnoteReference"/>
          <w:rFonts w:ascii="Arial" w:hAnsi="Arial" w:cs="Arial"/>
        </w:rPr>
        <w:footnoteRef/>
      </w:r>
      <w:r w:rsidRPr="002E5547">
        <w:rPr>
          <w:rFonts w:ascii="Arial" w:hAnsi="Arial" w:cs="Arial"/>
        </w:rPr>
        <w:t xml:space="preserve"> </w:t>
      </w:r>
      <w:r w:rsidRPr="002E5547">
        <w:rPr>
          <w:rFonts w:ascii="Arial" w:hAnsi="Arial" w:cs="Arial"/>
          <w:sz w:val="18"/>
          <w:szCs w:val="18"/>
        </w:rPr>
        <w:t>Since the European Investment Bank as an EU body is subject to Regulation (EU) 2018/1725 (</w:t>
      </w:r>
      <w:proofErr w:type="gramStart"/>
      <w:r w:rsidRPr="002E5547">
        <w:rPr>
          <w:rFonts w:ascii="Arial" w:hAnsi="Arial" w:cs="Arial"/>
          <w:sz w:val="18"/>
          <w:szCs w:val="18"/>
        </w:rPr>
        <w:t>i.e.</w:t>
      </w:r>
      <w:proofErr w:type="gramEnd"/>
      <w:r w:rsidRPr="002E5547">
        <w:rPr>
          <w:rFonts w:ascii="Arial" w:hAnsi="Arial" w:cs="Arial"/>
          <w:sz w:val="18"/>
          <w:szCs w:val="18"/>
        </w:rPr>
        <w:t xml:space="preserve"> it is not subject to General Data Protection Regulation), references to Regulation (EU) 2016/679 in these standard contractual clauses shall be understood as references to the equivalent provisions of Regulation (EU) 2018/1725. </w:t>
      </w:r>
      <w:r w:rsidRPr="002E5547">
        <w:rPr>
          <w:rFonts w:ascii="Arial" w:hAnsi="Arial" w:cs="Arial"/>
          <w:sz w:val="18"/>
          <w:szCs w:val="18"/>
          <w:highlight w:val="lightGray"/>
        </w:rPr>
        <w:t>[This footnote is for the benefit of the service provider, please keep as is.]</w:t>
      </w:r>
    </w:p>
  </w:footnote>
  <w:footnote w:id="3">
    <w:p w14:paraId="515141D7"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 xml:space="preserve">The Agreement on the European Economic Area (EEA Agreement) provides for the extension of the European Union’s internal market to the three EEA States Iceland, </w:t>
      </w:r>
      <w:proofErr w:type="gramStart"/>
      <w:r w:rsidRPr="008F37BD">
        <w:rPr>
          <w:rFonts w:ascii="Arial" w:hAnsi="Arial" w:cs="Arial"/>
          <w:sz w:val="18"/>
          <w:szCs w:val="16"/>
          <w:shd w:val="clear" w:color="auto" w:fill="FFFFFF"/>
        </w:rPr>
        <w:t>Liechtenstein</w:t>
      </w:r>
      <w:proofErr w:type="gramEnd"/>
      <w:r w:rsidRPr="008F37BD">
        <w:rPr>
          <w:rFonts w:ascii="Arial" w:hAnsi="Arial" w:cs="Arial"/>
          <w:sz w:val="18"/>
          <w:szCs w:val="16"/>
          <w:shd w:val="clear" w:color="auto" w:fill="FFFFFF"/>
        </w:rPr>
        <w:t xml:space="preserve"> and Norway. The Union data protection legislation, including Regulation (EU) 2016/679, is covered by the EEA Agreement and has been incorporated into Annex XI thereto. Therefore, any disclosure by the data importer to a third party located in the EEA does not qualify as an onward transfer for the purpose of these Clauses.</w:t>
      </w:r>
    </w:p>
  </w:footnote>
  <w:footnote w:id="4">
    <w:p w14:paraId="3557AA00" w14:textId="77777777" w:rsidR="00353764" w:rsidRPr="008F37BD" w:rsidRDefault="00353764" w:rsidP="008F37BD">
      <w:pPr>
        <w:pStyle w:val="FootnoteText"/>
        <w:spacing w:after="120"/>
        <w:jc w:val="both"/>
        <w:rPr>
          <w:rFonts w:ascii="Arial" w:hAnsi="Arial" w:cs="Arial"/>
          <w:sz w:val="18"/>
          <w:szCs w:val="16"/>
        </w:rPr>
      </w:pPr>
      <w:r w:rsidRPr="008F37BD">
        <w:rPr>
          <w:rStyle w:val="FootnoteReference"/>
          <w:rFonts w:ascii="Arial" w:hAnsi="Arial" w:cs="Arial"/>
          <w:sz w:val="18"/>
          <w:szCs w:val="16"/>
        </w:rPr>
        <w:footnoteRef/>
      </w:r>
      <w:r w:rsidRPr="008F37BD">
        <w:rPr>
          <w:rFonts w:ascii="Arial" w:hAnsi="Arial" w:cs="Arial"/>
          <w:sz w:val="18"/>
          <w:szCs w:val="16"/>
        </w:rPr>
        <w:t xml:space="preserve"> </w:t>
      </w:r>
      <w:r w:rsidRPr="008F37BD">
        <w:rPr>
          <w:rFonts w:ascii="Arial" w:hAnsi="Arial" w:cs="Arial"/>
          <w:sz w:val="18"/>
          <w:szCs w:val="16"/>
          <w:shd w:val="clear" w:color="auto" w:fill="FFFFFF"/>
        </w:rPr>
        <w:t>This requirement may be satisfied by the sub-processor acceding to these Clauses under the appropriate Module, in accordance with Clause 7.</w:t>
      </w:r>
    </w:p>
  </w:footnote>
  <w:footnote w:id="5">
    <w:p w14:paraId="7F21941E" w14:textId="77777777" w:rsidR="00353764" w:rsidRPr="00522EED" w:rsidRDefault="00353764" w:rsidP="008F37BD">
      <w:pPr>
        <w:pStyle w:val="FootnoteText"/>
        <w:spacing w:after="120"/>
        <w:jc w:val="both"/>
        <w:rPr>
          <w:rFonts w:ascii="Arial" w:hAnsi="Arial" w:cs="Arial"/>
          <w:sz w:val="18"/>
          <w:szCs w:val="16"/>
        </w:rPr>
      </w:pPr>
      <w:r w:rsidRPr="009035A4">
        <w:rPr>
          <w:rStyle w:val="FootnoteReference"/>
          <w:rFonts w:ascii="Arial" w:hAnsi="Arial" w:cs="Arial"/>
          <w:sz w:val="18"/>
          <w:szCs w:val="16"/>
        </w:rPr>
        <w:footnoteRef/>
      </w:r>
      <w:r w:rsidRPr="009035A4">
        <w:rPr>
          <w:rFonts w:ascii="Arial" w:hAnsi="Arial" w:cs="Arial"/>
          <w:sz w:val="18"/>
          <w:szCs w:val="16"/>
        </w:rPr>
        <w:t xml:space="preserve"> </w:t>
      </w:r>
      <w:r w:rsidRPr="009035A4">
        <w:rPr>
          <w:rFonts w:ascii="Arial" w:hAnsi="Arial" w:cs="Arial"/>
          <w:sz w:val="18"/>
          <w:szCs w:val="16"/>
          <w:shd w:val="clear" w:color="auto" w:fill="FFFFFF"/>
        </w:rPr>
        <w:t xml:space="preserve">As regards the impact of such laws and practices on compliance with these Clauses, different elements may be considered as part of an overall assessment. Such elements may include relevant and documented practical experience with prior instances of requests for disclosure from public authorities, or the absence of such requests, covering a sufficiently representative </w:t>
      </w:r>
      <w:proofErr w:type="gramStart"/>
      <w:r w:rsidRPr="009035A4">
        <w:rPr>
          <w:rFonts w:ascii="Arial" w:hAnsi="Arial" w:cs="Arial"/>
          <w:sz w:val="18"/>
          <w:szCs w:val="16"/>
          <w:shd w:val="clear" w:color="auto" w:fill="FFFFFF"/>
        </w:rPr>
        <w:t>time-frame</w:t>
      </w:r>
      <w:proofErr w:type="gramEnd"/>
      <w:r w:rsidRPr="009035A4">
        <w:rPr>
          <w:rFonts w:ascii="Arial" w:hAnsi="Arial" w:cs="Arial"/>
          <w:sz w:val="18"/>
          <w:szCs w:val="16"/>
          <w:shd w:val="clear" w:color="auto" w:fill="FFFFFF"/>
        </w:rPr>
        <w:t xml:space="preserve">. This refers </w:t>
      </w:r>
      <w:proofErr w:type="gramStart"/>
      <w:r w:rsidRPr="009035A4">
        <w:rPr>
          <w:rFonts w:ascii="Arial" w:hAnsi="Arial" w:cs="Arial"/>
          <w:sz w:val="18"/>
          <w:szCs w:val="16"/>
          <w:shd w:val="clear" w:color="auto" w:fill="FFFFFF"/>
        </w:rPr>
        <w:t>in particular to</w:t>
      </w:r>
      <w:proofErr w:type="gramEnd"/>
      <w:r w:rsidRPr="009035A4">
        <w:rPr>
          <w:rFonts w:ascii="Arial" w:hAnsi="Arial" w:cs="Arial"/>
          <w:sz w:val="18"/>
          <w:szCs w:val="16"/>
          <w:shd w:val="clear" w:color="auto" w:fill="FFFFFF"/>
        </w:rPr>
        <w:t xml:space="preserve"> internal records or other documentation, drawn up on a continuous basis in accordance with due diligence and certified at senior management level, provided that this information can be lawfully shared with third parties. Where this practical experience is relied upon to conclude that the data importer will not be prevented from complying with these Clauses, it needs to be supported by other relevant, objective elements, and it is for the Parties to consider carefully whether these elements together carry sufficient weight, in terms of their reliability and representativeness, to support this conclusion. In particular, the Parties </w:t>
      </w:r>
      <w:proofErr w:type="gramStart"/>
      <w:r w:rsidRPr="009035A4">
        <w:rPr>
          <w:rFonts w:ascii="Arial" w:hAnsi="Arial" w:cs="Arial"/>
          <w:sz w:val="18"/>
          <w:szCs w:val="16"/>
          <w:shd w:val="clear" w:color="auto" w:fill="FFFFFF"/>
        </w:rPr>
        <w:t>have to</w:t>
      </w:r>
      <w:proofErr w:type="gramEnd"/>
      <w:r w:rsidRPr="009035A4">
        <w:rPr>
          <w:rFonts w:ascii="Arial" w:hAnsi="Arial" w:cs="Arial"/>
          <w:sz w:val="18"/>
          <w:szCs w:val="16"/>
          <w:shd w:val="clear" w:color="auto" w:fill="FFFFFF"/>
        </w:rPr>
        <w:t xml:space="preserve"> take into account whether their practical experience is corroborated and not contradicted by publicly available or otherwise accessible, reliable information on the existence or absence of requests within the same sector and/or the application of the law in practice, such as case law and reports by independent oversight bodies.</w:t>
      </w:r>
    </w:p>
  </w:footnote>
  <w:footnote w:id="6">
    <w:p w14:paraId="463C4619" w14:textId="64609764" w:rsidR="00353764" w:rsidRPr="009035A4" w:rsidRDefault="00353764" w:rsidP="009035A4">
      <w:pPr>
        <w:pStyle w:val="FootnoteText"/>
        <w:jc w:val="both"/>
        <w:rPr>
          <w:rFonts w:ascii="Arial" w:hAnsi="Arial" w:cs="Arial"/>
          <w:sz w:val="18"/>
          <w:szCs w:val="18"/>
        </w:rPr>
      </w:pPr>
      <w:r w:rsidRPr="009035A4">
        <w:rPr>
          <w:rStyle w:val="FootnoteReference"/>
          <w:rFonts w:ascii="Arial" w:hAnsi="Arial" w:cs="Arial"/>
          <w:sz w:val="18"/>
          <w:szCs w:val="18"/>
        </w:rPr>
        <w:footnoteRef/>
      </w:r>
      <w:r w:rsidRPr="009035A4">
        <w:rPr>
          <w:rFonts w:ascii="Arial" w:hAnsi="Arial" w:cs="Arial"/>
          <w:sz w:val="18"/>
          <w:szCs w:val="18"/>
        </w:rPr>
        <w:t xml:space="preserve"> </w:t>
      </w:r>
      <w:r w:rsidRPr="004546A2">
        <w:rPr>
          <w:rFonts w:ascii="Arial" w:hAnsi="Arial" w:cs="Arial"/>
          <w:sz w:val="18"/>
          <w:szCs w:val="18"/>
          <w:highlight w:val="lightGray"/>
        </w:rPr>
        <w:t xml:space="preserve">Kindly note this is referring to a “transfer impact assessment” which must be performed prior to the signature. </w:t>
      </w:r>
      <w:r w:rsidR="002E5547" w:rsidRPr="004546A2">
        <w:rPr>
          <w:rFonts w:ascii="Arial" w:hAnsi="Arial" w:cs="Arial"/>
          <w:sz w:val="18"/>
          <w:szCs w:val="18"/>
          <w:highlight w:val="lightGray"/>
        </w:rPr>
        <w:t xml:space="preserve">Please reach out to </w:t>
      </w:r>
      <w:hyperlink r:id="rId1" w:history="1">
        <w:r w:rsidR="002E5547" w:rsidRPr="004546A2">
          <w:rPr>
            <w:rFonts w:ascii="Arial" w:hAnsi="Arial" w:cs="Arial"/>
            <w:sz w:val="18"/>
            <w:szCs w:val="18"/>
            <w:highlight w:val="lightGray"/>
          </w:rPr>
          <w:t>dataprotectionofficer@eib.org</w:t>
        </w:r>
      </w:hyperlink>
      <w:r w:rsidR="004546A2">
        <w:rPr>
          <w:rFonts w:ascii="Arial" w:hAnsi="Arial" w:cs="Arial"/>
          <w:sz w:val="18"/>
          <w:szCs w:val="18"/>
          <w:highlight w:val="lightGray"/>
        </w:rPr>
        <w:t xml:space="preserve"> </w:t>
      </w:r>
      <w:r w:rsidR="002E5547" w:rsidRPr="004546A2">
        <w:rPr>
          <w:rFonts w:ascii="Arial" w:hAnsi="Arial" w:cs="Arial"/>
          <w:sz w:val="18"/>
          <w:szCs w:val="18"/>
          <w:highlight w:val="lightGray"/>
        </w:rPr>
        <w:t xml:space="preserve">and CC </w:t>
      </w:r>
      <w:hyperlink r:id="rId2" w:history="1">
        <w:r w:rsidR="002E5547" w:rsidRPr="004546A2">
          <w:rPr>
            <w:rFonts w:ascii="Arial" w:hAnsi="Arial" w:cs="Arial"/>
            <w:sz w:val="18"/>
            <w:szCs w:val="18"/>
            <w:highlight w:val="lightGray"/>
          </w:rPr>
          <w:t>ju-data-protection@eib.org</w:t>
        </w:r>
      </w:hyperlink>
      <w:r w:rsidR="002E5547" w:rsidRPr="004546A2">
        <w:rPr>
          <w:rFonts w:ascii="Arial" w:hAnsi="Arial" w:cs="Arial"/>
          <w:sz w:val="18"/>
          <w:szCs w:val="18"/>
          <w:highlight w:val="lightGray"/>
        </w:rPr>
        <w:t xml:space="preserve"> for assistance.</w:t>
      </w:r>
    </w:p>
  </w:footnote>
  <w:footnote w:id="7">
    <w:p w14:paraId="2CDD8A6B" w14:textId="165718D8" w:rsidR="00506A0B" w:rsidRPr="00C21430" w:rsidRDefault="00506A0B" w:rsidP="00C21430">
      <w:pPr>
        <w:pStyle w:val="FootnoteText"/>
        <w:spacing w:after="120"/>
        <w:rPr>
          <w:rFonts w:ascii="Arial" w:hAnsi="Arial" w:cs="Arial"/>
          <w:sz w:val="18"/>
          <w:szCs w:val="18"/>
        </w:rPr>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If the parties</w:t>
      </w:r>
      <w:r w:rsidR="00C21430" w:rsidRPr="00C21430">
        <w:rPr>
          <w:rFonts w:ascii="Arial" w:hAnsi="Arial" w:cs="Arial"/>
          <w:sz w:val="18"/>
          <w:szCs w:val="18"/>
          <w:highlight w:val="lightGray"/>
        </w:rPr>
        <w:t xml:space="preserve"> (legal entities)</w:t>
      </w:r>
      <w:r w:rsidRPr="00C21430">
        <w:rPr>
          <w:rFonts w:ascii="Arial" w:hAnsi="Arial" w:cs="Arial"/>
          <w:sz w:val="18"/>
          <w:szCs w:val="18"/>
          <w:highlight w:val="lightGray"/>
        </w:rPr>
        <w:t xml:space="preserve"> to the Appendix are not identical to the parties</w:t>
      </w:r>
      <w:r w:rsidR="00C21430" w:rsidRPr="00C21430">
        <w:rPr>
          <w:rFonts w:ascii="Arial" w:hAnsi="Arial" w:cs="Arial"/>
          <w:sz w:val="18"/>
          <w:szCs w:val="18"/>
          <w:highlight w:val="lightGray"/>
        </w:rPr>
        <w:t xml:space="preserve"> (legal entities) </w:t>
      </w:r>
      <w:r w:rsidRPr="00C21430">
        <w:rPr>
          <w:rFonts w:ascii="Arial" w:hAnsi="Arial" w:cs="Arial"/>
          <w:sz w:val="18"/>
          <w:szCs w:val="18"/>
          <w:highlight w:val="lightGray"/>
        </w:rPr>
        <w:t>to the Agreement, an additional signature of the Appendix is needed. Please contact JU.</w:t>
      </w:r>
    </w:p>
  </w:footnote>
  <w:footnote w:id="8">
    <w:p w14:paraId="62FC2A69" w14:textId="6BF92605" w:rsidR="00506A0B" w:rsidRPr="00506A0B" w:rsidRDefault="00506A0B" w:rsidP="00C21430">
      <w:pPr>
        <w:pStyle w:val="FootnoteText"/>
        <w:spacing w:after="120"/>
      </w:pPr>
      <w:r w:rsidRPr="00C21430">
        <w:rPr>
          <w:rStyle w:val="FootnoteReference"/>
          <w:rFonts w:ascii="Arial" w:hAnsi="Arial" w:cs="Arial"/>
          <w:sz w:val="18"/>
          <w:szCs w:val="18"/>
        </w:rPr>
        <w:footnoteRef/>
      </w:r>
      <w:r w:rsidRPr="00C21430">
        <w:rPr>
          <w:rFonts w:ascii="Arial" w:hAnsi="Arial" w:cs="Arial"/>
          <w:sz w:val="18"/>
          <w:szCs w:val="18"/>
        </w:rPr>
        <w:t xml:space="preserve"> </w:t>
      </w:r>
      <w:r w:rsidRPr="00C21430">
        <w:rPr>
          <w:rFonts w:ascii="Arial" w:hAnsi="Arial" w:cs="Arial"/>
          <w:sz w:val="18"/>
          <w:szCs w:val="18"/>
          <w:highlight w:val="lightGray"/>
        </w:rPr>
        <w:t xml:space="preserve">If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 xml:space="preserve">to the Appendix are not identical to the parties </w:t>
      </w:r>
      <w:r w:rsidR="00C21430" w:rsidRPr="00C21430">
        <w:rPr>
          <w:rFonts w:ascii="Arial" w:hAnsi="Arial" w:cs="Arial"/>
          <w:sz w:val="18"/>
          <w:szCs w:val="18"/>
          <w:highlight w:val="lightGray"/>
        </w:rPr>
        <w:t xml:space="preserve">(legal entities) </w:t>
      </w:r>
      <w:r w:rsidRPr="00C21430">
        <w:rPr>
          <w:rFonts w:ascii="Arial" w:hAnsi="Arial" w:cs="Arial"/>
          <w:sz w:val="18"/>
          <w:szCs w:val="18"/>
          <w:highlight w:val="lightGray"/>
        </w:rPr>
        <w:t>to the Agreement, an additional signature of the Appendix is needed. Please contact JU.</w:t>
      </w:r>
    </w:p>
  </w:footnote>
  <w:footnote w:id="9">
    <w:p w14:paraId="4267CD1C" w14:textId="77777777" w:rsidR="00353764" w:rsidRPr="008F37BD" w:rsidRDefault="00353764" w:rsidP="008F37BD">
      <w:pPr>
        <w:pStyle w:val="FootnoteText"/>
        <w:spacing w:after="120"/>
        <w:rPr>
          <w:rFonts w:ascii="Arial" w:hAnsi="Arial" w:cs="Arial"/>
        </w:rPr>
      </w:pPr>
      <w:r w:rsidRPr="008F37BD">
        <w:rPr>
          <w:rStyle w:val="FootnoteReference"/>
          <w:rFonts w:ascii="Arial" w:hAnsi="Arial" w:cs="Arial"/>
          <w:sz w:val="18"/>
          <w:highlight w:val="lightGray"/>
        </w:rPr>
        <w:footnoteRef/>
      </w:r>
      <w:r w:rsidRPr="008F37BD">
        <w:rPr>
          <w:rFonts w:ascii="Arial" w:hAnsi="Arial" w:cs="Arial"/>
          <w:sz w:val="18"/>
          <w:highlight w:val="lightGray"/>
        </w:rPr>
        <w:t xml:space="preserve"> Include N/A if no sub-processors are </w:t>
      </w:r>
      <w:proofErr w:type="spellStart"/>
      <w:r w:rsidRPr="008F37BD">
        <w:rPr>
          <w:rFonts w:ascii="Arial" w:hAnsi="Arial" w:cs="Arial"/>
          <w:sz w:val="18"/>
          <w:highlight w:val="lightGray"/>
        </w:rPr>
        <w:t>authorised</w:t>
      </w:r>
      <w:proofErr w:type="spellEnd"/>
      <w:r w:rsidRPr="008F37BD">
        <w:rPr>
          <w:rFonts w:ascii="Arial" w:hAnsi="Arial" w:cs="Arial"/>
          <w:sz w:val="18"/>
          <w:highlight w:val="lightGray"/>
        </w:rPr>
        <w:t xml:space="preserve"> at the time of signature.</w:t>
      </w:r>
      <w:r w:rsidRPr="008F37BD">
        <w:rPr>
          <w:rFonts w:ascii="Arial" w:hAnsi="Arial" w:cs="Arial"/>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7EBA2" w14:textId="77777777" w:rsidR="00353764" w:rsidRPr="001A4404" w:rsidRDefault="00353764" w:rsidP="00190B05">
    <w:pPr>
      <w:autoSpaceDE w:val="0"/>
      <w:autoSpaceDN w:val="0"/>
      <w:adjustRightInd w:val="0"/>
      <w:spacing w:after="0" w:line="240" w:lineRule="auto"/>
      <w:jc w:val="right"/>
      <w:rPr>
        <w:rFonts w:ascii="Arial" w:eastAsia="Calibri" w:hAnsi="Arial" w:cs="Arial"/>
        <w:b/>
        <w:bCs/>
        <w:color w:val="000000"/>
      </w:rPr>
    </w:pPr>
    <w:r w:rsidRPr="001A4404">
      <w:rPr>
        <w:rFonts w:ascii="Arial" w:eastAsia="Calibri" w:hAnsi="Arial" w:cs="Arial"/>
        <w:b/>
        <w:bCs/>
        <w:color w:val="000000"/>
      </w:rPr>
      <w:t xml:space="preserve">APPENDIX </w:t>
    </w:r>
    <w:r>
      <w:rPr>
        <w:rFonts w:ascii="Arial" w:eastAsia="Calibri" w:hAnsi="Arial" w:cs="Arial"/>
        <w:b/>
        <w:bCs/>
        <w:color w:val="000000"/>
      </w:rPr>
      <w:t>[</w:t>
    </w:r>
    <w:r w:rsidRPr="00664265">
      <w:rPr>
        <w:rFonts w:ascii="Arial" w:eastAsia="Calibri" w:hAnsi="Arial" w:cs="Arial"/>
        <w:b/>
        <w:bCs/>
        <w:color w:val="000000"/>
        <w:highlight w:val="yellow"/>
      </w:rPr>
      <w:t>D/E</w:t>
    </w:r>
    <w:r>
      <w:rPr>
        <w:rFonts w:ascii="Arial" w:eastAsia="Calibri" w:hAnsi="Arial" w:cs="Arial"/>
        <w:b/>
        <w:bCs/>
        <w:color w:val="000000"/>
      </w:rPr>
      <w:t>]</w:t>
    </w:r>
    <w:r w:rsidRPr="001A4404">
      <w:rPr>
        <w:rFonts w:ascii="Arial" w:eastAsia="Calibri" w:hAnsi="Arial" w:cs="Arial"/>
        <w:b/>
        <w:bCs/>
        <w:color w:val="000000"/>
      </w:rPr>
      <w:t xml:space="preserve"> </w:t>
    </w:r>
  </w:p>
  <w:p w14:paraId="45E78695" w14:textId="673C4774" w:rsidR="00353764" w:rsidRPr="001A4404" w:rsidRDefault="00353764" w:rsidP="00190B05">
    <w:pPr>
      <w:autoSpaceDE w:val="0"/>
      <w:autoSpaceDN w:val="0"/>
      <w:adjustRightInd w:val="0"/>
      <w:spacing w:after="0" w:line="240" w:lineRule="auto"/>
      <w:jc w:val="right"/>
      <w:rPr>
        <w:rFonts w:ascii="Arial" w:eastAsia="Calibri" w:hAnsi="Arial" w:cs="Arial"/>
        <w:color w:val="000000"/>
        <w:sz w:val="16"/>
        <w:szCs w:val="16"/>
      </w:rPr>
    </w:pPr>
    <w:r>
      <w:rPr>
        <w:rFonts w:ascii="Arial" w:eastAsia="Calibri" w:hAnsi="Arial" w:cs="Arial"/>
        <w:color w:val="000000"/>
        <w:sz w:val="16"/>
        <w:szCs w:val="16"/>
      </w:rPr>
      <w:t xml:space="preserve">to </w:t>
    </w:r>
    <w:r w:rsidR="001B0A85" w:rsidRPr="001B0A85">
      <w:rPr>
        <w:rFonts w:ascii="Arial" w:eastAsia="Calibri" w:hAnsi="Arial" w:cs="Arial"/>
        <w:color w:val="000000"/>
        <w:sz w:val="16"/>
        <w:szCs w:val="16"/>
      </w:rPr>
      <w:t>C</w:t>
    </w:r>
    <w:r w:rsidRPr="001B0A85">
      <w:rPr>
        <w:rFonts w:ascii="Arial" w:eastAsia="Calibri" w:hAnsi="Arial" w:cs="Arial"/>
        <w:color w:val="000000"/>
        <w:sz w:val="16"/>
        <w:szCs w:val="16"/>
      </w:rPr>
      <w:t xml:space="preserve">ontract </w:t>
    </w:r>
    <w:r w:rsidR="001B0A85">
      <w:rPr>
        <w:rFonts w:ascii="Arial" w:eastAsia="Calibri" w:hAnsi="Arial" w:cs="Arial"/>
        <w:color w:val="000000"/>
        <w:sz w:val="16"/>
        <w:szCs w:val="16"/>
      </w:rPr>
      <w:t>AA-010864-00</w:t>
    </w:r>
    <w:r w:rsidR="00152B83">
      <w:rPr>
        <w:rFonts w:ascii="Arial" w:eastAsia="Calibri" w:hAnsi="Arial" w:cs="Arial"/>
        <w:color w:val="000000"/>
        <w:sz w:val="16"/>
        <w:szCs w:val="16"/>
      </w:rPr>
      <w:t>2</w:t>
    </w:r>
  </w:p>
  <w:p w14:paraId="5E22EF13" w14:textId="77777777" w:rsidR="00353764" w:rsidRDefault="003537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F5"/>
    <w:rsid w:val="000963BF"/>
    <w:rsid w:val="00152B83"/>
    <w:rsid w:val="00190B05"/>
    <w:rsid w:val="00194540"/>
    <w:rsid w:val="001B0A85"/>
    <w:rsid w:val="001C7D0D"/>
    <w:rsid w:val="001E1F33"/>
    <w:rsid w:val="0025108D"/>
    <w:rsid w:val="002E5547"/>
    <w:rsid w:val="00353764"/>
    <w:rsid w:val="0038797C"/>
    <w:rsid w:val="00395047"/>
    <w:rsid w:val="003A48D0"/>
    <w:rsid w:val="003B3044"/>
    <w:rsid w:val="004546A2"/>
    <w:rsid w:val="0047483C"/>
    <w:rsid w:val="00483965"/>
    <w:rsid w:val="004B0E85"/>
    <w:rsid w:val="004B4AC8"/>
    <w:rsid w:val="004C501D"/>
    <w:rsid w:val="004E5B9A"/>
    <w:rsid w:val="004F59C3"/>
    <w:rsid w:val="00506A0B"/>
    <w:rsid w:val="00522EED"/>
    <w:rsid w:val="0054439E"/>
    <w:rsid w:val="005B2BD7"/>
    <w:rsid w:val="00642660"/>
    <w:rsid w:val="006900E1"/>
    <w:rsid w:val="006A1C93"/>
    <w:rsid w:val="006D68E6"/>
    <w:rsid w:val="006E5814"/>
    <w:rsid w:val="006E64C7"/>
    <w:rsid w:val="00716465"/>
    <w:rsid w:val="00766E42"/>
    <w:rsid w:val="007C0F35"/>
    <w:rsid w:val="00867E24"/>
    <w:rsid w:val="008969DF"/>
    <w:rsid w:val="008F37BD"/>
    <w:rsid w:val="009035A4"/>
    <w:rsid w:val="009856ED"/>
    <w:rsid w:val="009F19C1"/>
    <w:rsid w:val="00A63461"/>
    <w:rsid w:val="00AB24F5"/>
    <w:rsid w:val="00AF51D9"/>
    <w:rsid w:val="00B16EF5"/>
    <w:rsid w:val="00B51A41"/>
    <w:rsid w:val="00B84FC5"/>
    <w:rsid w:val="00BF544B"/>
    <w:rsid w:val="00C21430"/>
    <w:rsid w:val="00CA0812"/>
    <w:rsid w:val="00CF2DC6"/>
    <w:rsid w:val="00D15448"/>
    <w:rsid w:val="00DB45F0"/>
    <w:rsid w:val="00DD7E11"/>
    <w:rsid w:val="00DE7357"/>
    <w:rsid w:val="00E93172"/>
    <w:rsid w:val="00F415FD"/>
    <w:rsid w:val="00F6590B"/>
    <w:rsid w:val="00F664F9"/>
    <w:rsid w:val="00F77884"/>
    <w:rsid w:val="00FD1FDB"/>
    <w:rsid w:val="00FE3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3B461"/>
  <w15:chartTrackingRefBased/>
  <w15:docId w15:val="{19ED4480-263B-4CB4-94D8-A7D537CF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DefaultParagraphFont"/>
    <w:rsid w:val="00AB24F5"/>
  </w:style>
  <w:style w:type="character" w:customStyle="1" w:styleId="oj-italic">
    <w:name w:val="oj-italic"/>
    <w:basedOn w:val="DefaultParagraphFont"/>
    <w:rsid w:val="00AB24F5"/>
  </w:style>
  <w:style w:type="paragraph" w:customStyle="1" w:styleId="oj-normal">
    <w:name w:val="oj-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B24F5"/>
    <w:rPr>
      <w:color w:val="0000FF"/>
      <w:u w:val="single"/>
    </w:rPr>
  </w:style>
  <w:style w:type="character" w:styleId="FollowedHyperlink">
    <w:name w:val="FollowedHyperlink"/>
    <w:basedOn w:val="DefaultParagraphFont"/>
    <w:uiPriority w:val="99"/>
    <w:semiHidden/>
    <w:unhideWhenUsed/>
    <w:rsid w:val="00AB24F5"/>
    <w:rPr>
      <w:color w:val="800080"/>
      <w:u w:val="single"/>
    </w:rPr>
  </w:style>
  <w:style w:type="character" w:customStyle="1" w:styleId="oj-super">
    <w:name w:val="oj-super"/>
    <w:basedOn w:val="DefaultParagraphFont"/>
    <w:rsid w:val="00AB24F5"/>
  </w:style>
  <w:style w:type="paragraph" w:customStyle="1" w:styleId="oj-note">
    <w:name w:val="oj-note"/>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AB24F5"/>
    <w:pPr>
      <w:spacing w:after="0" w:line="240" w:lineRule="auto"/>
    </w:pPr>
    <w:rPr>
      <w:sz w:val="20"/>
      <w:szCs w:val="20"/>
    </w:rPr>
  </w:style>
  <w:style w:type="character" w:customStyle="1" w:styleId="FootnoteTextChar">
    <w:name w:val="Footnote Text Char"/>
    <w:basedOn w:val="DefaultParagraphFont"/>
    <w:link w:val="FootnoteText"/>
    <w:semiHidden/>
    <w:rsid w:val="00AB24F5"/>
    <w:rPr>
      <w:sz w:val="20"/>
      <w:szCs w:val="20"/>
    </w:rPr>
  </w:style>
  <w:style w:type="character" w:styleId="FootnoteReference">
    <w:name w:val="footnote reference"/>
    <w:basedOn w:val="DefaultParagraphFont"/>
    <w:semiHidden/>
    <w:unhideWhenUsed/>
    <w:rsid w:val="00AB24F5"/>
    <w:rPr>
      <w:vertAlign w:val="superscript"/>
    </w:rPr>
  </w:style>
  <w:style w:type="paragraph" w:styleId="BalloonText">
    <w:name w:val="Balloon Text"/>
    <w:basedOn w:val="Normal"/>
    <w:link w:val="BalloonTextChar"/>
    <w:uiPriority w:val="99"/>
    <w:semiHidden/>
    <w:unhideWhenUsed/>
    <w:rsid w:val="00AB2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4F5"/>
    <w:rPr>
      <w:rFonts w:ascii="Segoe UI" w:hAnsi="Segoe UI" w:cs="Segoe UI"/>
      <w:sz w:val="18"/>
      <w:szCs w:val="18"/>
    </w:rPr>
  </w:style>
  <w:style w:type="character" w:styleId="CommentReference">
    <w:name w:val="annotation reference"/>
    <w:basedOn w:val="DefaultParagraphFont"/>
    <w:uiPriority w:val="99"/>
    <w:semiHidden/>
    <w:unhideWhenUsed/>
    <w:rsid w:val="00AB24F5"/>
    <w:rPr>
      <w:sz w:val="16"/>
      <w:szCs w:val="16"/>
    </w:rPr>
  </w:style>
  <w:style w:type="paragraph" w:styleId="CommentText">
    <w:name w:val="annotation text"/>
    <w:basedOn w:val="Normal"/>
    <w:link w:val="CommentTextChar"/>
    <w:uiPriority w:val="99"/>
    <w:semiHidden/>
    <w:unhideWhenUsed/>
    <w:rsid w:val="00AB24F5"/>
    <w:pPr>
      <w:spacing w:line="240" w:lineRule="auto"/>
    </w:pPr>
    <w:rPr>
      <w:sz w:val="20"/>
      <w:szCs w:val="20"/>
    </w:rPr>
  </w:style>
  <w:style w:type="character" w:customStyle="1" w:styleId="CommentTextChar">
    <w:name w:val="Comment Text Char"/>
    <w:basedOn w:val="DefaultParagraphFont"/>
    <w:link w:val="CommentText"/>
    <w:uiPriority w:val="99"/>
    <w:semiHidden/>
    <w:rsid w:val="00AB24F5"/>
    <w:rPr>
      <w:sz w:val="20"/>
      <w:szCs w:val="20"/>
    </w:rPr>
  </w:style>
  <w:style w:type="paragraph" w:styleId="CommentSubject">
    <w:name w:val="annotation subject"/>
    <w:basedOn w:val="CommentText"/>
    <w:next w:val="CommentText"/>
    <w:link w:val="CommentSubjectChar"/>
    <w:uiPriority w:val="99"/>
    <w:semiHidden/>
    <w:unhideWhenUsed/>
    <w:rsid w:val="00AB24F5"/>
    <w:rPr>
      <w:b/>
      <w:bCs/>
    </w:rPr>
  </w:style>
  <w:style w:type="character" w:customStyle="1" w:styleId="CommentSubjectChar">
    <w:name w:val="Comment Subject Char"/>
    <w:basedOn w:val="CommentTextChar"/>
    <w:link w:val="CommentSubject"/>
    <w:uiPriority w:val="99"/>
    <w:semiHidden/>
    <w:rsid w:val="00AB24F5"/>
    <w:rPr>
      <w:b/>
      <w:bCs/>
      <w:sz w:val="20"/>
      <w:szCs w:val="20"/>
    </w:rPr>
  </w:style>
  <w:style w:type="paragraph" w:styleId="Header">
    <w:name w:val="header"/>
    <w:basedOn w:val="Normal"/>
    <w:link w:val="HeaderChar"/>
    <w:uiPriority w:val="99"/>
    <w:unhideWhenUsed/>
    <w:rsid w:val="00867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E24"/>
  </w:style>
  <w:style w:type="paragraph" w:styleId="Footer">
    <w:name w:val="footer"/>
    <w:basedOn w:val="Normal"/>
    <w:link w:val="FooterChar"/>
    <w:uiPriority w:val="99"/>
    <w:unhideWhenUsed/>
    <w:rsid w:val="00867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E24"/>
  </w:style>
  <w:style w:type="paragraph" w:styleId="Revision">
    <w:name w:val="Revision"/>
    <w:hidden/>
    <w:uiPriority w:val="99"/>
    <w:semiHidden/>
    <w:rsid w:val="00F659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747369">
      <w:bodyDiv w:val="1"/>
      <w:marLeft w:val="0"/>
      <w:marRight w:val="0"/>
      <w:marTop w:val="0"/>
      <w:marBottom w:val="0"/>
      <w:divBdr>
        <w:top w:val="none" w:sz="0" w:space="0" w:color="auto"/>
        <w:left w:val="none" w:sz="0" w:space="0" w:color="auto"/>
        <w:bottom w:val="none" w:sz="0" w:space="0" w:color="auto"/>
        <w:right w:val="none" w:sz="0" w:space="0" w:color="auto"/>
      </w:divBdr>
      <w:divsChild>
        <w:div w:id="989987207">
          <w:marLeft w:val="0"/>
          <w:marRight w:val="0"/>
          <w:marTop w:val="0"/>
          <w:marBottom w:val="0"/>
          <w:divBdr>
            <w:top w:val="none" w:sz="0" w:space="0" w:color="auto"/>
            <w:left w:val="none" w:sz="0" w:space="0" w:color="auto"/>
            <w:bottom w:val="none" w:sz="0" w:space="0" w:color="auto"/>
            <w:right w:val="none" w:sz="0" w:space="0" w:color="auto"/>
          </w:divBdr>
          <w:divsChild>
            <w:div w:id="1831292998">
              <w:marLeft w:val="0"/>
              <w:marRight w:val="0"/>
              <w:marTop w:val="0"/>
              <w:marBottom w:val="0"/>
              <w:divBdr>
                <w:top w:val="none" w:sz="0" w:space="0" w:color="auto"/>
                <w:left w:val="none" w:sz="0" w:space="0" w:color="auto"/>
                <w:bottom w:val="none" w:sz="0" w:space="0" w:color="auto"/>
                <w:right w:val="none" w:sz="0" w:space="0" w:color="auto"/>
              </w:divBdr>
            </w:div>
          </w:divsChild>
        </w:div>
        <w:div w:id="857735674">
          <w:marLeft w:val="0"/>
          <w:marRight w:val="0"/>
          <w:marTop w:val="0"/>
          <w:marBottom w:val="0"/>
          <w:divBdr>
            <w:top w:val="none" w:sz="0" w:space="0" w:color="auto"/>
            <w:left w:val="none" w:sz="0" w:space="0" w:color="auto"/>
            <w:bottom w:val="none" w:sz="0" w:space="0" w:color="auto"/>
            <w:right w:val="none" w:sz="0" w:space="0" w:color="auto"/>
          </w:divBdr>
          <w:divsChild>
            <w:div w:id="724450686">
              <w:marLeft w:val="0"/>
              <w:marRight w:val="0"/>
              <w:marTop w:val="0"/>
              <w:marBottom w:val="0"/>
              <w:divBdr>
                <w:top w:val="none" w:sz="0" w:space="0" w:color="auto"/>
                <w:left w:val="none" w:sz="0" w:space="0" w:color="auto"/>
                <w:bottom w:val="none" w:sz="0" w:space="0" w:color="auto"/>
                <w:right w:val="none" w:sz="0" w:space="0" w:color="auto"/>
              </w:divBdr>
            </w:div>
          </w:divsChild>
        </w:div>
        <w:div w:id="1176310471">
          <w:marLeft w:val="0"/>
          <w:marRight w:val="0"/>
          <w:marTop w:val="0"/>
          <w:marBottom w:val="0"/>
          <w:divBdr>
            <w:top w:val="none" w:sz="0" w:space="0" w:color="auto"/>
            <w:left w:val="none" w:sz="0" w:space="0" w:color="auto"/>
            <w:bottom w:val="none" w:sz="0" w:space="0" w:color="auto"/>
            <w:right w:val="none" w:sz="0" w:space="0" w:color="auto"/>
          </w:divBdr>
          <w:divsChild>
            <w:div w:id="2003922867">
              <w:marLeft w:val="0"/>
              <w:marRight w:val="0"/>
              <w:marTop w:val="0"/>
              <w:marBottom w:val="0"/>
              <w:divBdr>
                <w:top w:val="none" w:sz="0" w:space="0" w:color="auto"/>
                <w:left w:val="none" w:sz="0" w:space="0" w:color="auto"/>
                <w:bottom w:val="none" w:sz="0" w:space="0" w:color="auto"/>
                <w:right w:val="none" w:sz="0" w:space="0" w:color="auto"/>
              </w:divBdr>
            </w:div>
          </w:divsChild>
        </w:div>
        <w:div w:id="1537617375">
          <w:marLeft w:val="0"/>
          <w:marRight w:val="0"/>
          <w:marTop w:val="0"/>
          <w:marBottom w:val="0"/>
          <w:divBdr>
            <w:top w:val="none" w:sz="0" w:space="0" w:color="auto"/>
            <w:left w:val="none" w:sz="0" w:space="0" w:color="auto"/>
            <w:bottom w:val="none" w:sz="0" w:space="0" w:color="auto"/>
            <w:right w:val="none" w:sz="0" w:space="0" w:color="auto"/>
          </w:divBdr>
          <w:divsChild>
            <w:div w:id="1739669617">
              <w:marLeft w:val="0"/>
              <w:marRight w:val="0"/>
              <w:marTop w:val="0"/>
              <w:marBottom w:val="0"/>
              <w:divBdr>
                <w:top w:val="none" w:sz="0" w:space="0" w:color="auto"/>
                <w:left w:val="none" w:sz="0" w:space="0" w:color="auto"/>
                <w:bottom w:val="none" w:sz="0" w:space="0" w:color="auto"/>
                <w:right w:val="none" w:sz="0" w:space="0" w:color="auto"/>
              </w:divBdr>
            </w:div>
          </w:divsChild>
        </w:div>
        <w:div w:id="2064407054">
          <w:marLeft w:val="0"/>
          <w:marRight w:val="0"/>
          <w:marTop w:val="0"/>
          <w:marBottom w:val="0"/>
          <w:divBdr>
            <w:top w:val="none" w:sz="0" w:space="0" w:color="auto"/>
            <w:left w:val="none" w:sz="0" w:space="0" w:color="auto"/>
            <w:bottom w:val="none" w:sz="0" w:space="0" w:color="auto"/>
            <w:right w:val="none" w:sz="0" w:space="0" w:color="auto"/>
          </w:divBdr>
          <w:divsChild>
            <w:div w:id="1803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mailto:ju-data-protection@eib.org" TargetMode="External"/><Relationship Id="rId1" Type="http://schemas.openxmlformats.org/officeDocument/2006/relationships/hyperlink" Target="mailto:dataprotectionofficer@ei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D6D3-DB84-4050-85FB-1DD791AA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5919</Words>
  <Characters>33743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39583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JU/CORP/PTA</dc:creator>
  <cp:keywords/>
  <dc:description/>
  <cp:lastModifiedBy>EIB</cp:lastModifiedBy>
  <cp:revision>7</cp:revision>
  <cp:lastPrinted>2021-06-30T13:47:00Z</cp:lastPrinted>
  <dcterms:created xsi:type="dcterms:W3CDTF">2023-05-25T15:27:00Z</dcterms:created>
  <dcterms:modified xsi:type="dcterms:W3CDTF">2024-10-08T07:33:00Z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fe2cb69-e3fc-4f7b-9e98-62927e4fcbd6_Enabled">
    <vt:lpwstr>true</vt:lpwstr>
  </property>
  <property fmtid="{D5CDD505-2E9C-101B-9397-08002B2CF9AE}" pid="3" name="MSIP_Label_9fe2cb69-e3fc-4f7b-9e98-62927e4fcbd6_SetDate">
    <vt:lpwstr>2024-12-06T13:14:14Z</vt:lpwstr>
  </property>
  <property fmtid="{D5CDD505-2E9C-101B-9397-08002B2CF9AE}" pid="4" name="MSIP_Label_9fe2cb69-e3fc-4f7b-9e98-62927e4fcbd6_Method">
    <vt:lpwstr>Standard</vt:lpwstr>
  </property>
  <property fmtid="{D5CDD505-2E9C-101B-9397-08002B2CF9AE}" pid="5" name="MSIP_Label_9fe2cb69-e3fc-4f7b-9e98-62927e4fcbd6_Name">
    <vt:lpwstr>Default Confidential</vt:lpwstr>
  </property>
  <property fmtid="{D5CDD505-2E9C-101B-9397-08002B2CF9AE}" pid="6" name="MSIP_Label_9fe2cb69-e3fc-4f7b-9e98-62927e4fcbd6_SiteId">
    <vt:lpwstr>0b96d5d2-d153-4370-a2c7-8a926f24c8a1</vt:lpwstr>
  </property>
  <property fmtid="{D5CDD505-2E9C-101B-9397-08002B2CF9AE}" pid="7" name="MSIP_Label_9fe2cb69-e3fc-4f7b-9e98-62927e4fcbd6_ActionId">
    <vt:lpwstr>3f621529-3ccd-417b-8782-b139ccbd69e1</vt:lpwstr>
  </property>
  <property fmtid="{D5CDD505-2E9C-101B-9397-08002B2CF9AE}" pid="8" name="MSIP_Label_9fe2cb69-e3fc-4f7b-9e98-62927e4fcbd6_ContentBits">
    <vt:lpwstr>0</vt:lpwstr>
  </property>
</Properties>
</file>